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50" w:rsidRDefault="00270350" w:rsidP="005D0241">
      <w:pPr>
        <w:ind w:left="720"/>
        <w:jc w:val="center"/>
        <w:rPr>
          <w:b/>
          <w:sz w:val="28"/>
          <w:szCs w:val="28"/>
        </w:rPr>
      </w:pPr>
    </w:p>
    <w:p w:rsidR="005D0241" w:rsidRDefault="00BE69F8" w:rsidP="00BE69F8">
      <w:pPr>
        <w:ind w:left="720" w:right="-682" w:hanging="720"/>
        <w:jc w:val="center"/>
        <w:rPr>
          <w:b/>
          <w:sz w:val="28"/>
          <w:szCs w:val="28"/>
        </w:rPr>
      </w:pPr>
      <w:bookmarkStart w:id="0" w:name="_GoBack"/>
      <w:r w:rsidRPr="00BE69F8">
        <w:rPr>
          <w:b/>
          <w:sz w:val="28"/>
          <w:szCs w:val="28"/>
        </w:rPr>
        <w:t>К</w:t>
      </w:r>
      <w:r w:rsidR="00961329" w:rsidRPr="00BE69F8">
        <w:rPr>
          <w:b/>
          <w:sz w:val="28"/>
          <w:szCs w:val="28"/>
        </w:rPr>
        <w:t xml:space="preserve">онсолидированные результаты </w:t>
      </w:r>
      <w:r w:rsidR="00733615" w:rsidRPr="00BE69F8">
        <w:rPr>
          <w:b/>
          <w:sz w:val="28"/>
          <w:szCs w:val="28"/>
        </w:rPr>
        <w:t xml:space="preserve">деятельности </w:t>
      </w:r>
      <w:r w:rsidR="005D0241" w:rsidRPr="00BE69F8">
        <w:rPr>
          <w:b/>
          <w:sz w:val="28"/>
          <w:szCs w:val="28"/>
        </w:rPr>
        <w:t>ИСКЧ</w:t>
      </w:r>
      <w:r w:rsidRPr="00BE69F8">
        <w:rPr>
          <w:b/>
          <w:sz w:val="28"/>
          <w:szCs w:val="28"/>
        </w:rPr>
        <w:t xml:space="preserve"> </w:t>
      </w:r>
      <w:r w:rsidR="00BC043F">
        <w:rPr>
          <w:b/>
          <w:sz w:val="28"/>
          <w:szCs w:val="28"/>
        </w:rPr>
        <w:br/>
      </w:r>
      <w:r w:rsidR="005D0241" w:rsidRPr="00BE69F8">
        <w:rPr>
          <w:b/>
          <w:sz w:val="28"/>
          <w:szCs w:val="28"/>
        </w:rPr>
        <w:t xml:space="preserve">за </w:t>
      </w:r>
      <w:r w:rsidR="00BC043F">
        <w:rPr>
          <w:b/>
          <w:sz w:val="28"/>
          <w:szCs w:val="28"/>
        </w:rPr>
        <w:t>первое полугодие 2013 года</w:t>
      </w:r>
      <w:r w:rsidR="005D0241" w:rsidRPr="00BE69F8">
        <w:rPr>
          <w:b/>
          <w:sz w:val="28"/>
          <w:szCs w:val="28"/>
        </w:rPr>
        <w:t xml:space="preserve"> по </w:t>
      </w:r>
      <w:r w:rsidR="00961329" w:rsidRPr="00BE69F8">
        <w:rPr>
          <w:b/>
          <w:sz w:val="28"/>
          <w:szCs w:val="28"/>
        </w:rPr>
        <w:t>МСФО</w:t>
      </w:r>
    </w:p>
    <w:p w:rsidR="005D0241" w:rsidRDefault="005D0241" w:rsidP="00CB7F53">
      <w:pPr>
        <w:spacing w:before="360" w:after="240"/>
        <w:ind w:right="-629"/>
        <w:jc w:val="both"/>
        <w:rPr>
          <w:rFonts w:eastAsia="MS Mincho"/>
          <w:sz w:val="22"/>
          <w:szCs w:val="22"/>
        </w:rPr>
      </w:pPr>
      <w:bookmarkStart w:id="1" w:name="OLE_LINK1"/>
      <w:r w:rsidRPr="00914F96">
        <w:rPr>
          <w:rFonts w:eastAsia="MS Mincho"/>
          <w:b/>
          <w:bCs/>
          <w:sz w:val="22"/>
          <w:szCs w:val="22"/>
        </w:rPr>
        <w:t xml:space="preserve">Москва </w:t>
      </w:r>
      <w:r w:rsidRPr="006A5C7C">
        <w:rPr>
          <w:rFonts w:eastAsia="MS Mincho"/>
          <w:b/>
          <w:bCs/>
          <w:sz w:val="22"/>
          <w:szCs w:val="22"/>
        </w:rPr>
        <w:t xml:space="preserve">– </w:t>
      </w:r>
      <w:r w:rsidR="00BC043F" w:rsidRPr="006A5C7C">
        <w:rPr>
          <w:rFonts w:eastAsia="MS Mincho"/>
          <w:b/>
          <w:bCs/>
          <w:sz w:val="22"/>
          <w:szCs w:val="22"/>
        </w:rPr>
        <w:t>29</w:t>
      </w:r>
      <w:r w:rsidRPr="006A5C7C">
        <w:rPr>
          <w:rFonts w:eastAsia="MS Mincho"/>
          <w:b/>
          <w:bCs/>
          <w:sz w:val="22"/>
          <w:szCs w:val="22"/>
        </w:rPr>
        <w:t xml:space="preserve"> </w:t>
      </w:r>
      <w:r w:rsidR="00BC043F" w:rsidRPr="006A5C7C">
        <w:rPr>
          <w:rFonts w:eastAsia="MS Mincho"/>
          <w:b/>
          <w:bCs/>
          <w:sz w:val="22"/>
          <w:szCs w:val="22"/>
        </w:rPr>
        <w:t>августа</w:t>
      </w:r>
      <w:r w:rsidR="00BC1BC7">
        <w:rPr>
          <w:rFonts w:eastAsia="MS Mincho"/>
          <w:b/>
          <w:bCs/>
          <w:sz w:val="22"/>
          <w:szCs w:val="22"/>
        </w:rPr>
        <w:t xml:space="preserve"> 2013</w:t>
      </w:r>
      <w:r>
        <w:rPr>
          <w:rFonts w:eastAsia="MS Mincho"/>
          <w:b/>
          <w:bCs/>
          <w:sz w:val="22"/>
          <w:szCs w:val="22"/>
        </w:rPr>
        <w:t xml:space="preserve"> </w:t>
      </w:r>
      <w:r w:rsidRPr="00914F96">
        <w:rPr>
          <w:rFonts w:eastAsia="MS Mincho"/>
          <w:b/>
          <w:bCs/>
          <w:sz w:val="22"/>
          <w:szCs w:val="22"/>
        </w:rPr>
        <w:t>года</w:t>
      </w:r>
      <w:r>
        <w:rPr>
          <w:rFonts w:eastAsia="MS Mincho"/>
          <w:b/>
          <w:bCs/>
          <w:sz w:val="22"/>
          <w:szCs w:val="22"/>
        </w:rPr>
        <w:t xml:space="preserve">. </w:t>
      </w:r>
      <w:r w:rsidR="00BC1BC7">
        <w:rPr>
          <w:rFonts w:eastAsia="MS Mincho"/>
          <w:b/>
          <w:bCs/>
          <w:sz w:val="22"/>
          <w:szCs w:val="22"/>
        </w:rPr>
        <w:t xml:space="preserve">  </w:t>
      </w:r>
      <w:proofErr w:type="gramStart"/>
      <w:r w:rsidRPr="00E446D5">
        <w:rPr>
          <w:rFonts w:eastAsia="MS Mincho"/>
          <w:bCs/>
          <w:sz w:val="22"/>
          <w:szCs w:val="22"/>
        </w:rPr>
        <w:t>Институт Стволовых Клеток Человека</w:t>
      </w:r>
      <w:r>
        <w:rPr>
          <w:rFonts w:eastAsia="MS Mincho"/>
          <w:bCs/>
          <w:sz w:val="22"/>
          <w:szCs w:val="22"/>
        </w:rPr>
        <w:t xml:space="preserve"> - </w:t>
      </w:r>
      <w:r w:rsidRPr="00E446D5">
        <w:rPr>
          <w:rFonts w:eastAsia="MS Mincho"/>
          <w:bCs/>
          <w:sz w:val="22"/>
          <w:szCs w:val="22"/>
        </w:rPr>
        <w:t xml:space="preserve">ОАО «ИСКЧ»  </w:t>
      </w:r>
      <w:r w:rsidRPr="00D0571A">
        <w:rPr>
          <w:rFonts w:eastAsia="MS Mincho"/>
          <w:sz w:val="22"/>
          <w:szCs w:val="22"/>
        </w:rPr>
        <w:t>(ФБ ММВБ:</w:t>
      </w:r>
      <w:proofErr w:type="gramEnd"/>
      <w:r w:rsidRPr="00D0571A">
        <w:rPr>
          <w:rFonts w:eastAsia="MS Mincho"/>
          <w:sz w:val="22"/>
          <w:szCs w:val="22"/>
        </w:rPr>
        <w:t xml:space="preserve"> </w:t>
      </w:r>
      <w:hyperlink r:id="rId9" w:history="1">
        <w:proofErr w:type="gramStart"/>
        <w:r w:rsidRPr="00D0571A">
          <w:rPr>
            <w:rStyle w:val="aa"/>
            <w:sz w:val="22"/>
            <w:szCs w:val="22"/>
          </w:rPr>
          <w:t>ISKJ</w:t>
        </w:r>
      </w:hyperlink>
      <w:r w:rsidRPr="00D0571A">
        <w:rPr>
          <w:rFonts w:eastAsia="MS Mincho"/>
          <w:sz w:val="22"/>
          <w:szCs w:val="22"/>
        </w:rPr>
        <w:t>),</w:t>
      </w:r>
      <w:r w:rsidRPr="00E446D5">
        <w:rPr>
          <w:rFonts w:eastAsia="MS Mincho"/>
          <w:sz w:val="22"/>
          <w:szCs w:val="22"/>
        </w:rPr>
        <w:t xml:space="preserve"> российская биотехнологическая компания, разрабатывающая и внедряющая продукты и услуги в области клеточных, генных и </w:t>
      </w:r>
      <w:proofErr w:type="spellStart"/>
      <w:r w:rsidRPr="00E446D5">
        <w:rPr>
          <w:rFonts w:eastAsia="MS Mincho"/>
          <w:sz w:val="22"/>
          <w:szCs w:val="22"/>
        </w:rPr>
        <w:t>постгеномных</w:t>
      </w:r>
      <w:proofErr w:type="spellEnd"/>
      <w:r w:rsidRPr="00E446D5">
        <w:rPr>
          <w:rFonts w:eastAsia="MS Mincho"/>
          <w:sz w:val="22"/>
          <w:szCs w:val="22"/>
        </w:rPr>
        <w:t xml:space="preserve"> технологий, объявляет </w:t>
      </w:r>
      <w:proofErr w:type="spellStart"/>
      <w:r w:rsidR="00BC043F">
        <w:rPr>
          <w:rFonts w:eastAsia="MS Mincho"/>
          <w:sz w:val="22"/>
          <w:szCs w:val="22"/>
        </w:rPr>
        <w:t>не</w:t>
      </w:r>
      <w:r w:rsidR="00961329">
        <w:rPr>
          <w:rFonts w:eastAsia="MS Mincho"/>
          <w:sz w:val="22"/>
          <w:szCs w:val="22"/>
        </w:rPr>
        <w:t>аудированные</w:t>
      </w:r>
      <w:proofErr w:type="spellEnd"/>
      <w:r w:rsidR="00961329">
        <w:rPr>
          <w:rFonts w:eastAsia="MS Mincho"/>
          <w:sz w:val="22"/>
          <w:szCs w:val="22"/>
        </w:rPr>
        <w:t xml:space="preserve"> </w:t>
      </w:r>
      <w:r w:rsidR="00943648">
        <w:rPr>
          <w:rFonts w:eastAsia="MS Mincho"/>
          <w:sz w:val="22"/>
          <w:szCs w:val="22"/>
        </w:rPr>
        <w:t xml:space="preserve">консолидированные </w:t>
      </w:r>
      <w:r>
        <w:rPr>
          <w:rFonts w:eastAsia="MS Mincho"/>
          <w:sz w:val="22"/>
          <w:szCs w:val="22"/>
        </w:rPr>
        <w:t xml:space="preserve">результаты деятельности за </w:t>
      </w:r>
      <w:r w:rsidR="00BC043F">
        <w:rPr>
          <w:rFonts w:eastAsia="MS Mincho"/>
          <w:sz w:val="22"/>
          <w:szCs w:val="22"/>
        </w:rPr>
        <w:t>первое полугодие 2013</w:t>
      </w:r>
      <w:r w:rsidRPr="00914F96">
        <w:rPr>
          <w:rFonts w:eastAsia="MS Mincho"/>
          <w:sz w:val="22"/>
          <w:szCs w:val="22"/>
        </w:rPr>
        <w:t xml:space="preserve"> год</w:t>
      </w:r>
      <w:r w:rsidR="00BC043F">
        <w:rPr>
          <w:rFonts w:eastAsia="MS Mincho"/>
          <w:sz w:val="22"/>
          <w:szCs w:val="22"/>
        </w:rPr>
        <w:t>а</w:t>
      </w:r>
      <w:r w:rsidRPr="00914F96">
        <w:rPr>
          <w:rFonts w:eastAsia="MS Mincho"/>
          <w:sz w:val="22"/>
          <w:szCs w:val="22"/>
        </w:rPr>
        <w:t xml:space="preserve"> </w:t>
      </w:r>
      <w:r w:rsidR="00093AB0">
        <w:rPr>
          <w:rFonts w:eastAsia="MS Mincho"/>
          <w:sz w:val="22"/>
          <w:szCs w:val="22"/>
        </w:rPr>
        <w:t xml:space="preserve">(6 месяцев, закончившихся 30 июня 2013 г.) </w:t>
      </w:r>
      <w:r w:rsidRPr="00914F96">
        <w:rPr>
          <w:rFonts w:eastAsia="MS Mincho"/>
          <w:sz w:val="22"/>
          <w:szCs w:val="22"/>
        </w:rPr>
        <w:t xml:space="preserve">в соответствии </w:t>
      </w:r>
      <w:r>
        <w:rPr>
          <w:rFonts w:eastAsia="MS Mincho"/>
          <w:sz w:val="22"/>
          <w:szCs w:val="22"/>
        </w:rPr>
        <w:t xml:space="preserve">с </w:t>
      </w:r>
      <w:r w:rsidR="00961329">
        <w:rPr>
          <w:rFonts w:eastAsia="MS Mincho"/>
          <w:sz w:val="22"/>
          <w:szCs w:val="22"/>
        </w:rPr>
        <w:t>международными стандартами</w:t>
      </w:r>
      <w:r w:rsidRPr="00914F96">
        <w:rPr>
          <w:rFonts w:eastAsia="MS Mincho"/>
          <w:sz w:val="22"/>
          <w:szCs w:val="22"/>
        </w:rPr>
        <w:t xml:space="preserve"> </w:t>
      </w:r>
      <w:r w:rsidR="00961329">
        <w:rPr>
          <w:rFonts w:eastAsia="MS Mincho"/>
          <w:sz w:val="22"/>
          <w:szCs w:val="22"/>
        </w:rPr>
        <w:t xml:space="preserve">финансовой отчетности </w:t>
      </w:r>
      <w:r w:rsidRPr="00914F96">
        <w:rPr>
          <w:rFonts w:eastAsia="MS Mincho"/>
          <w:sz w:val="22"/>
          <w:szCs w:val="22"/>
        </w:rPr>
        <w:t>(</w:t>
      </w:r>
      <w:r w:rsidR="00961329">
        <w:rPr>
          <w:rFonts w:eastAsia="MS Mincho"/>
          <w:sz w:val="22"/>
          <w:szCs w:val="22"/>
        </w:rPr>
        <w:t>МСФО</w:t>
      </w:r>
      <w:r w:rsidR="009109AC">
        <w:rPr>
          <w:rFonts w:eastAsia="MS Mincho"/>
          <w:sz w:val="22"/>
          <w:szCs w:val="22"/>
        </w:rPr>
        <w:t>).</w:t>
      </w:r>
      <w:proofErr w:type="gramEnd"/>
    </w:p>
    <w:p w:rsidR="009109AC" w:rsidRPr="00361A2F" w:rsidRDefault="009109AC" w:rsidP="00361A2F">
      <w:pPr>
        <w:spacing w:before="120" w:after="240"/>
        <w:ind w:right="-629"/>
        <w:jc w:val="both"/>
        <w:rPr>
          <w:rFonts w:eastAsia="MS Mincho"/>
          <w:i/>
          <w:sz w:val="22"/>
          <w:szCs w:val="22"/>
        </w:rPr>
      </w:pPr>
      <w:r w:rsidRPr="00361A2F">
        <w:rPr>
          <w:rFonts w:eastAsia="MS Mincho"/>
          <w:i/>
          <w:sz w:val="22"/>
          <w:szCs w:val="22"/>
        </w:rPr>
        <w:t xml:space="preserve">Компания впервые раскрывает консолидированную промежуточную </w:t>
      </w:r>
      <w:r w:rsidR="00B5516F" w:rsidRPr="00361A2F">
        <w:rPr>
          <w:rFonts w:eastAsia="MS Mincho"/>
          <w:i/>
          <w:sz w:val="22"/>
          <w:szCs w:val="22"/>
        </w:rPr>
        <w:t xml:space="preserve">сокращенную </w:t>
      </w:r>
      <w:r w:rsidRPr="00361A2F">
        <w:rPr>
          <w:rFonts w:eastAsia="MS Mincho"/>
          <w:i/>
          <w:sz w:val="22"/>
          <w:szCs w:val="22"/>
        </w:rPr>
        <w:t>финансовую отчетность за полугодие, подготовленную в соответствии с МСФО</w:t>
      </w:r>
      <w:r w:rsidR="00B5516F" w:rsidRPr="00361A2F">
        <w:rPr>
          <w:rFonts w:eastAsia="MS Mincho"/>
          <w:i/>
          <w:sz w:val="22"/>
          <w:szCs w:val="22"/>
        </w:rPr>
        <w:t xml:space="preserve"> (</w:t>
      </w:r>
      <w:r w:rsidR="00B5516F" w:rsidRPr="00361A2F">
        <w:rPr>
          <w:rFonts w:eastAsia="MS Mincho"/>
          <w:i/>
          <w:sz w:val="22"/>
          <w:szCs w:val="22"/>
          <w:lang w:val="en-US"/>
        </w:rPr>
        <w:t>IAS</w:t>
      </w:r>
      <w:r w:rsidR="00B5516F" w:rsidRPr="00361A2F">
        <w:rPr>
          <w:rFonts w:eastAsia="MS Mincho"/>
          <w:i/>
          <w:sz w:val="22"/>
          <w:szCs w:val="22"/>
        </w:rPr>
        <w:t xml:space="preserve"> 34)</w:t>
      </w:r>
      <w:r w:rsidRPr="00361A2F">
        <w:rPr>
          <w:rFonts w:eastAsia="MS Mincho"/>
          <w:i/>
          <w:sz w:val="22"/>
          <w:szCs w:val="22"/>
        </w:rPr>
        <w:t>.</w:t>
      </w:r>
    </w:p>
    <w:p w:rsidR="005D0241" w:rsidRPr="00361A2F" w:rsidRDefault="005D0241" w:rsidP="00361A2F">
      <w:pPr>
        <w:pStyle w:val="a8"/>
        <w:spacing w:before="120" w:after="0"/>
        <w:ind w:right="-628"/>
        <w:jc w:val="both"/>
        <w:rPr>
          <w:sz w:val="22"/>
          <w:szCs w:val="22"/>
          <w:lang w:val="en-US"/>
        </w:rPr>
      </w:pPr>
    </w:p>
    <w:p w:rsidR="00C15D46" w:rsidRDefault="00C15D46" w:rsidP="00BE69F8">
      <w:pPr>
        <w:spacing w:before="120" w:after="240"/>
        <w:ind w:right="-539"/>
        <w:jc w:val="both"/>
        <w:rPr>
          <w:sz w:val="22"/>
          <w:szCs w:val="22"/>
        </w:rPr>
      </w:pPr>
      <w:r w:rsidRPr="00323988">
        <w:rPr>
          <w:sz w:val="22"/>
          <w:szCs w:val="22"/>
        </w:rPr>
        <w:t xml:space="preserve">В </w:t>
      </w:r>
      <w:r w:rsidR="003D25DD">
        <w:rPr>
          <w:sz w:val="22"/>
          <w:szCs w:val="22"/>
        </w:rPr>
        <w:t xml:space="preserve">первом полугодии </w:t>
      </w:r>
      <w:r w:rsidRPr="00323988">
        <w:rPr>
          <w:sz w:val="22"/>
          <w:szCs w:val="22"/>
        </w:rPr>
        <w:t>201</w:t>
      </w:r>
      <w:r w:rsidR="003D25DD">
        <w:rPr>
          <w:sz w:val="22"/>
          <w:szCs w:val="22"/>
        </w:rPr>
        <w:t>3 года</w:t>
      </w:r>
      <w:r w:rsidRPr="00323988">
        <w:rPr>
          <w:sz w:val="22"/>
          <w:szCs w:val="22"/>
        </w:rPr>
        <w:t xml:space="preserve"> группа компаний ИСКЧ продемонстрировала следующие операционные и финансовые результаты:</w:t>
      </w:r>
      <w:r w:rsidR="003D25DD">
        <w:rPr>
          <w:sz w:val="22"/>
          <w:szCs w:val="22"/>
        </w:rPr>
        <w:t xml:space="preserve"> </w:t>
      </w:r>
    </w:p>
    <w:tbl>
      <w:tblPr>
        <w:tblW w:w="6946" w:type="dxa"/>
        <w:jc w:val="center"/>
        <w:tblInd w:w="250" w:type="dxa"/>
        <w:tblLook w:val="04A0" w:firstRow="1" w:lastRow="0" w:firstColumn="1" w:lastColumn="0" w:noHBand="0" w:noVBand="1"/>
      </w:tblPr>
      <w:tblGrid>
        <w:gridCol w:w="5387"/>
        <w:gridCol w:w="1559"/>
      </w:tblGrid>
      <w:tr w:rsidR="008217E9" w:rsidRPr="0090117B" w:rsidTr="008217E9">
        <w:trPr>
          <w:trHeight w:val="409"/>
          <w:jc w:val="center"/>
        </w:trPr>
        <w:tc>
          <w:tcPr>
            <w:tcW w:w="5387"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8217E9" w:rsidRPr="0090117B" w:rsidRDefault="008217E9" w:rsidP="0090117B">
            <w:pPr>
              <w:suppressAutoHyphens w:val="0"/>
              <w:ind w:firstLineChars="100" w:firstLine="181"/>
              <w:rPr>
                <w:rFonts w:ascii="Times New Roman CYR" w:hAnsi="Times New Roman CYR" w:cs="Times New Roman CYR"/>
                <w:b/>
                <w:bCs/>
                <w:sz w:val="18"/>
                <w:szCs w:val="18"/>
                <w:lang w:eastAsia="ru-RU"/>
              </w:rPr>
            </w:pPr>
            <w:r w:rsidRPr="0090117B">
              <w:rPr>
                <w:rFonts w:ascii="Times New Roman CYR" w:hAnsi="Times New Roman CYR" w:cs="Times New Roman CYR"/>
                <w:b/>
                <w:bCs/>
                <w:sz w:val="18"/>
                <w:szCs w:val="18"/>
                <w:lang w:eastAsia="ru-RU"/>
              </w:rPr>
              <w:t>Тыс. руб.</w:t>
            </w:r>
          </w:p>
        </w:tc>
        <w:tc>
          <w:tcPr>
            <w:tcW w:w="1559" w:type="dxa"/>
            <w:tcBorders>
              <w:top w:val="single" w:sz="8" w:space="0" w:color="auto"/>
              <w:left w:val="nil"/>
              <w:bottom w:val="double" w:sz="6" w:space="0" w:color="auto"/>
              <w:right w:val="single" w:sz="8" w:space="0" w:color="auto"/>
            </w:tcBorders>
            <w:shd w:val="clear" w:color="auto" w:fill="auto"/>
            <w:vAlign w:val="bottom"/>
            <w:hideMark/>
          </w:tcPr>
          <w:p w:rsidR="008217E9" w:rsidRPr="0090117B" w:rsidRDefault="008217E9" w:rsidP="0090117B">
            <w:pPr>
              <w:suppressAutoHyphens w:val="0"/>
              <w:jc w:val="center"/>
              <w:rPr>
                <w:rFonts w:ascii="Times New Roman CYR" w:hAnsi="Times New Roman CYR" w:cs="Times New Roman CYR"/>
                <w:b/>
                <w:bCs/>
                <w:sz w:val="18"/>
                <w:szCs w:val="18"/>
                <w:lang w:eastAsia="ru-RU"/>
              </w:rPr>
            </w:pPr>
            <w:r>
              <w:rPr>
                <w:rFonts w:ascii="Times New Roman CYR" w:hAnsi="Times New Roman CYR" w:cs="Times New Roman CYR"/>
                <w:b/>
                <w:bCs/>
                <w:sz w:val="18"/>
                <w:szCs w:val="18"/>
                <w:lang w:eastAsia="ru-RU"/>
              </w:rPr>
              <w:t>6 мес. 2013</w:t>
            </w:r>
            <w:r w:rsidRPr="0090117B">
              <w:rPr>
                <w:rFonts w:ascii="Times New Roman CYR" w:hAnsi="Times New Roman CYR" w:cs="Times New Roman CYR"/>
                <w:b/>
                <w:bCs/>
                <w:sz w:val="18"/>
                <w:szCs w:val="18"/>
                <w:lang w:eastAsia="ru-RU"/>
              </w:rPr>
              <w:t xml:space="preserve"> г.</w:t>
            </w:r>
          </w:p>
        </w:tc>
      </w:tr>
      <w:tr w:rsidR="008217E9" w:rsidRPr="0090117B" w:rsidTr="008217E9">
        <w:trPr>
          <w:trHeight w:val="270"/>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0117B">
            <w:pPr>
              <w:suppressAutoHyphens w:val="0"/>
              <w:ind w:firstLineChars="100" w:firstLine="181"/>
              <w:rPr>
                <w:rFonts w:ascii="Times New Roman CYR" w:hAnsi="Times New Roman CYR" w:cs="Times New Roman CYR"/>
                <w:b/>
                <w:bCs/>
                <w:sz w:val="18"/>
                <w:szCs w:val="18"/>
                <w:lang w:eastAsia="ru-RU"/>
              </w:rPr>
            </w:pPr>
            <w:r w:rsidRPr="0090117B">
              <w:rPr>
                <w:rFonts w:ascii="Times New Roman CYR" w:hAnsi="Times New Roman CYR" w:cs="Times New Roman CYR"/>
                <w:b/>
                <w:bCs/>
                <w:sz w:val="18"/>
                <w:szCs w:val="18"/>
                <w:lang w:eastAsia="ru-RU"/>
              </w:rPr>
              <w:t>Выручка</w:t>
            </w:r>
          </w:p>
        </w:tc>
        <w:tc>
          <w:tcPr>
            <w:tcW w:w="1559" w:type="dxa"/>
            <w:tcBorders>
              <w:top w:val="nil"/>
              <w:left w:val="nil"/>
              <w:bottom w:val="nil"/>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b/>
                <w:bCs/>
                <w:sz w:val="18"/>
                <w:szCs w:val="18"/>
                <w:lang w:eastAsia="ru-RU"/>
              </w:rPr>
            </w:pPr>
            <w:r>
              <w:rPr>
                <w:rFonts w:ascii="Times New Roman CYR" w:hAnsi="Times New Roman CYR" w:cs="Times New Roman CYR"/>
                <w:b/>
                <w:bCs/>
                <w:sz w:val="18"/>
                <w:szCs w:val="18"/>
                <w:lang w:eastAsia="ru-RU"/>
              </w:rPr>
              <w:t>215 686</w:t>
            </w:r>
          </w:p>
        </w:tc>
      </w:tr>
      <w:tr w:rsidR="008217E9" w:rsidRPr="0090117B" w:rsidTr="008217E9">
        <w:trPr>
          <w:trHeight w:val="255"/>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0117B">
            <w:pPr>
              <w:suppressAutoHyphens w:val="0"/>
              <w:ind w:firstLineChars="100" w:firstLine="181"/>
              <w:rPr>
                <w:rFonts w:ascii="Times New Roman CYR" w:hAnsi="Times New Roman CYR" w:cs="Times New Roman CYR"/>
                <w:b/>
                <w:bCs/>
                <w:sz w:val="18"/>
                <w:szCs w:val="18"/>
                <w:lang w:eastAsia="ru-RU"/>
              </w:rPr>
            </w:pPr>
            <w:r w:rsidRPr="0090117B">
              <w:rPr>
                <w:rFonts w:ascii="Times New Roman CYR" w:hAnsi="Times New Roman CYR" w:cs="Times New Roman CYR"/>
                <w:b/>
                <w:bCs/>
                <w:sz w:val="18"/>
                <w:szCs w:val="18"/>
                <w:lang w:eastAsia="ru-RU"/>
              </w:rPr>
              <w:t xml:space="preserve">Операционные расходы, в </w:t>
            </w:r>
            <w:proofErr w:type="spellStart"/>
            <w:r w:rsidRPr="0090117B">
              <w:rPr>
                <w:rFonts w:ascii="Times New Roman CYR" w:hAnsi="Times New Roman CYR" w:cs="Times New Roman CYR"/>
                <w:b/>
                <w:bCs/>
                <w:sz w:val="18"/>
                <w:szCs w:val="18"/>
                <w:lang w:eastAsia="ru-RU"/>
              </w:rPr>
              <w:t>т.ч</w:t>
            </w:r>
            <w:proofErr w:type="spellEnd"/>
            <w:r w:rsidRPr="0090117B">
              <w:rPr>
                <w:rFonts w:ascii="Times New Roman CYR" w:hAnsi="Times New Roman CYR" w:cs="Times New Roman CYR"/>
                <w:b/>
                <w:bCs/>
                <w:sz w:val="18"/>
                <w:szCs w:val="18"/>
                <w:lang w:eastAsia="ru-RU"/>
              </w:rPr>
              <w:t>.</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b/>
                <w:bCs/>
                <w:sz w:val="18"/>
                <w:szCs w:val="18"/>
                <w:lang w:eastAsia="ru-RU"/>
              </w:rPr>
            </w:pPr>
            <w:r>
              <w:rPr>
                <w:rFonts w:ascii="Times New Roman CYR" w:hAnsi="Times New Roman CYR" w:cs="Times New Roman CYR"/>
                <w:b/>
                <w:bCs/>
                <w:sz w:val="18"/>
                <w:szCs w:val="18"/>
                <w:lang w:eastAsia="ru-RU"/>
              </w:rPr>
              <w:t>173 336</w:t>
            </w:r>
          </w:p>
        </w:tc>
      </w:tr>
      <w:tr w:rsidR="008217E9" w:rsidRPr="0090117B" w:rsidTr="008217E9">
        <w:trPr>
          <w:trHeight w:val="255"/>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0117B">
            <w:pPr>
              <w:suppressAutoHyphens w:val="0"/>
              <w:ind w:firstLineChars="100" w:firstLine="180"/>
              <w:rPr>
                <w:rFonts w:ascii="Times New Roman CYR" w:hAnsi="Times New Roman CYR" w:cs="Times New Roman CYR"/>
                <w:sz w:val="18"/>
                <w:szCs w:val="18"/>
                <w:lang w:eastAsia="ru-RU"/>
              </w:rPr>
            </w:pPr>
            <w:r w:rsidRPr="0090117B">
              <w:rPr>
                <w:rFonts w:ascii="Times New Roman CYR" w:hAnsi="Times New Roman CYR" w:cs="Times New Roman CYR"/>
                <w:sz w:val="18"/>
                <w:szCs w:val="18"/>
                <w:lang w:eastAsia="ru-RU"/>
              </w:rPr>
              <w:t xml:space="preserve">    Амортизация основных средств и нематериальных активов</w:t>
            </w:r>
          </w:p>
        </w:tc>
        <w:tc>
          <w:tcPr>
            <w:tcW w:w="1559" w:type="dxa"/>
            <w:tcBorders>
              <w:top w:val="nil"/>
              <w:left w:val="nil"/>
              <w:bottom w:val="single" w:sz="4"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10 712</w:t>
            </w:r>
          </w:p>
        </w:tc>
      </w:tr>
      <w:tr w:rsidR="008217E9" w:rsidRPr="0090117B" w:rsidTr="008217E9">
        <w:trPr>
          <w:trHeight w:val="255"/>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0117B">
            <w:pPr>
              <w:suppressAutoHyphens w:val="0"/>
              <w:ind w:firstLineChars="100" w:firstLine="181"/>
              <w:rPr>
                <w:rFonts w:ascii="Times New Roman CYR" w:hAnsi="Times New Roman CYR" w:cs="Times New Roman CYR"/>
                <w:b/>
                <w:bCs/>
                <w:sz w:val="18"/>
                <w:szCs w:val="18"/>
                <w:lang w:eastAsia="ru-RU"/>
              </w:rPr>
            </w:pPr>
            <w:r w:rsidRPr="0090117B">
              <w:rPr>
                <w:rFonts w:ascii="Times New Roman CYR" w:hAnsi="Times New Roman CYR" w:cs="Times New Roman CYR"/>
                <w:b/>
                <w:bCs/>
                <w:sz w:val="18"/>
                <w:szCs w:val="18"/>
                <w:lang w:eastAsia="ru-RU"/>
              </w:rPr>
              <w:t>OIBDA</w:t>
            </w:r>
            <w:r w:rsidRPr="00545E17">
              <w:rPr>
                <w:rStyle w:val="ad"/>
                <w:bCs/>
                <w:iCs/>
                <w:sz w:val="18"/>
                <w:szCs w:val="18"/>
                <w:lang w:val="en-US"/>
              </w:rPr>
              <w:footnoteReference w:id="1"/>
            </w:r>
          </w:p>
        </w:tc>
        <w:tc>
          <w:tcPr>
            <w:tcW w:w="1559" w:type="dxa"/>
            <w:tcBorders>
              <w:top w:val="nil"/>
              <w:left w:val="nil"/>
              <w:bottom w:val="single" w:sz="4"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b/>
                <w:bCs/>
                <w:sz w:val="18"/>
                <w:szCs w:val="18"/>
                <w:lang w:eastAsia="ru-RU"/>
              </w:rPr>
            </w:pPr>
            <w:r>
              <w:rPr>
                <w:rFonts w:ascii="Times New Roman CYR" w:hAnsi="Times New Roman CYR" w:cs="Times New Roman CYR"/>
                <w:b/>
                <w:bCs/>
                <w:sz w:val="18"/>
                <w:szCs w:val="18"/>
                <w:lang w:eastAsia="ru-RU"/>
              </w:rPr>
              <w:t>53 062</w:t>
            </w:r>
          </w:p>
        </w:tc>
      </w:tr>
      <w:tr w:rsidR="008217E9" w:rsidRPr="0090117B" w:rsidTr="008217E9">
        <w:trPr>
          <w:trHeight w:val="255"/>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0117B">
            <w:pPr>
              <w:suppressAutoHyphens w:val="0"/>
              <w:ind w:firstLineChars="100" w:firstLine="180"/>
              <w:rPr>
                <w:rFonts w:ascii="Times New Roman CYR" w:hAnsi="Times New Roman CYR" w:cs="Times New Roman CYR"/>
                <w:i/>
                <w:iCs/>
                <w:sz w:val="18"/>
                <w:szCs w:val="18"/>
                <w:lang w:val="en-US" w:eastAsia="ru-RU"/>
              </w:rPr>
            </w:pPr>
            <w:r w:rsidRPr="0090117B">
              <w:rPr>
                <w:rFonts w:ascii="Times New Roman CYR" w:hAnsi="Times New Roman CYR" w:cs="Times New Roman CYR"/>
                <w:i/>
                <w:iCs/>
                <w:sz w:val="18"/>
                <w:szCs w:val="18"/>
                <w:lang w:val="en-US" w:eastAsia="ru-RU"/>
              </w:rPr>
              <w:t xml:space="preserve">   </w:t>
            </w:r>
            <w:r w:rsidRPr="0090117B">
              <w:rPr>
                <w:rFonts w:ascii="Times New Roman CYR" w:hAnsi="Times New Roman CYR" w:cs="Times New Roman CYR"/>
                <w:i/>
                <w:iCs/>
                <w:sz w:val="18"/>
                <w:szCs w:val="18"/>
                <w:lang w:eastAsia="ru-RU"/>
              </w:rPr>
              <w:t>Маржа</w:t>
            </w:r>
            <w:r w:rsidRPr="0090117B">
              <w:rPr>
                <w:rFonts w:ascii="Times New Roman CYR" w:hAnsi="Times New Roman CYR" w:cs="Times New Roman CYR"/>
                <w:i/>
                <w:iCs/>
                <w:sz w:val="18"/>
                <w:szCs w:val="18"/>
                <w:lang w:val="en-US" w:eastAsia="ru-RU"/>
              </w:rPr>
              <w:t xml:space="preserve"> </w:t>
            </w:r>
            <w:r w:rsidRPr="0090117B">
              <w:rPr>
                <w:rFonts w:ascii="Times New Roman CYR" w:hAnsi="Times New Roman CYR" w:cs="Times New Roman CYR"/>
                <w:i/>
                <w:iCs/>
                <w:sz w:val="18"/>
                <w:szCs w:val="18"/>
                <w:lang w:eastAsia="ru-RU"/>
              </w:rPr>
              <w:t>по</w:t>
            </w:r>
            <w:r w:rsidRPr="0090117B">
              <w:rPr>
                <w:rFonts w:ascii="Times New Roman CYR" w:hAnsi="Times New Roman CYR" w:cs="Times New Roman CYR"/>
                <w:i/>
                <w:iCs/>
                <w:sz w:val="18"/>
                <w:szCs w:val="18"/>
                <w:lang w:val="en-US" w:eastAsia="ru-RU"/>
              </w:rPr>
              <w:t xml:space="preserve"> OIBDA (OIBDA margin), %</w:t>
            </w:r>
          </w:p>
        </w:tc>
        <w:tc>
          <w:tcPr>
            <w:tcW w:w="1559" w:type="dxa"/>
            <w:tcBorders>
              <w:top w:val="nil"/>
              <w:left w:val="nil"/>
              <w:bottom w:val="single" w:sz="4"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i/>
                <w:iCs/>
                <w:sz w:val="18"/>
                <w:szCs w:val="18"/>
                <w:lang w:eastAsia="ru-RU"/>
              </w:rPr>
            </w:pPr>
            <w:r>
              <w:rPr>
                <w:rFonts w:ascii="Times New Roman CYR" w:hAnsi="Times New Roman CYR" w:cs="Times New Roman CYR"/>
                <w:i/>
                <w:iCs/>
                <w:sz w:val="18"/>
                <w:szCs w:val="18"/>
                <w:lang w:eastAsia="ru-RU"/>
              </w:rPr>
              <w:t>24,6%</w:t>
            </w:r>
          </w:p>
        </w:tc>
      </w:tr>
      <w:tr w:rsidR="008217E9" w:rsidRPr="0090117B" w:rsidTr="008217E9">
        <w:trPr>
          <w:trHeight w:val="255"/>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109AC">
            <w:pPr>
              <w:suppressAutoHyphens w:val="0"/>
              <w:ind w:firstLineChars="100" w:firstLine="181"/>
              <w:rPr>
                <w:rFonts w:ascii="Times New Roman CYR" w:hAnsi="Times New Roman CYR" w:cs="Times New Roman CYR"/>
                <w:b/>
                <w:bCs/>
                <w:sz w:val="18"/>
                <w:szCs w:val="18"/>
                <w:lang w:eastAsia="ru-RU"/>
              </w:rPr>
            </w:pPr>
            <w:r w:rsidRPr="0090117B">
              <w:rPr>
                <w:rFonts w:ascii="Times New Roman CYR" w:hAnsi="Times New Roman CYR" w:cs="Times New Roman CYR"/>
                <w:b/>
                <w:bCs/>
                <w:sz w:val="18"/>
                <w:szCs w:val="18"/>
                <w:lang w:eastAsia="ru-RU"/>
              </w:rPr>
              <w:t xml:space="preserve">Операционная прибыль </w:t>
            </w:r>
          </w:p>
        </w:tc>
        <w:tc>
          <w:tcPr>
            <w:tcW w:w="1559" w:type="dxa"/>
            <w:tcBorders>
              <w:top w:val="nil"/>
              <w:left w:val="nil"/>
              <w:bottom w:val="single" w:sz="4"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b/>
                <w:bCs/>
                <w:sz w:val="18"/>
                <w:szCs w:val="18"/>
                <w:lang w:eastAsia="ru-RU"/>
              </w:rPr>
            </w:pPr>
            <w:r>
              <w:rPr>
                <w:rFonts w:ascii="Times New Roman CYR" w:hAnsi="Times New Roman CYR" w:cs="Times New Roman CYR"/>
                <w:b/>
                <w:bCs/>
                <w:sz w:val="18"/>
                <w:szCs w:val="18"/>
                <w:lang w:eastAsia="ru-RU"/>
              </w:rPr>
              <w:t>42 350</w:t>
            </w:r>
          </w:p>
        </w:tc>
      </w:tr>
      <w:tr w:rsidR="008217E9" w:rsidRPr="0090117B" w:rsidTr="008217E9">
        <w:trPr>
          <w:trHeight w:val="255"/>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0117B">
            <w:pPr>
              <w:suppressAutoHyphens w:val="0"/>
              <w:ind w:firstLineChars="100" w:firstLine="180"/>
              <w:rPr>
                <w:rFonts w:ascii="Times New Roman CYR" w:hAnsi="Times New Roman CYR" w:cs="Times New Roman CYR"/>
                <w:i/>
                <w:iCs/>
                <w:sz w:val="18"/>
                <w:szCs w:val="18"/>
                <w:lang w:eastAsia="ru-RU"/>
              </w:rPr>
            </w:pPr>
            <w:r w:rsidRPr="0090117B">
              <w:rPr>
                <w:rFonts w:ascii="Times New Roman CYR" w:hAnsi="Times New Roman CYR" w:cs="Times New Roman CYR"/>
                <w:i/>
                <w:iCs/>
                <w:sz w:val="18"/>
                <w:szCs w:val="18"/>
                <w:lang w:eastAsia="ru-RU"/>
              </w:rPr>
              <w:t xml:space="preserve">   Маржа </w:t>
            </w:r>
            <w:proofErr w:type="gramStart"/>
            <w:r w:rsidRPr="0090117B">
              <w:rPr>
                <w:rFonts w:ascii="Times New Roman CYR" w:hAnsi="Times New Roman CYR" w:cs="Times New Roman CYR"/>
                <w:i/>
                <w:iCs/>
                <w:sz w:val="18"/>
                <w:szCs w:val="18"/>
                <w:lang w:eastAsia="ru-RU"/>
              </w:rPr>
              <w:t>по операционной</w:t>
            </w:r>
            <w:proofErr w:type="gramEnd"/>
            <w:r w:rsidRPr="0090117B">
              <w:rPr>
                <w:rFonts w:ascii="Times New Roman CYR" w:hAnsi="Times New Roman CYR" w:cs="Times New Roman CYR"/>
                <w:i/>
                <w:iCs/>
                <w:sz w:val="18"/>
                <w:szCs w:val="18"/>
                <w:lang w:eastAsia="ru-RU"/>
              </w:rPr>
              <w:t xml:space="preserve"> прибыли (</w:t>
            </w:r>
            <w:proofErr w:type="spellStart"/>
            <w:r w:rsidRPr="0090117B">
              <w:rPr>
                <w:rFonts w:ascii="Times New Roman CYR" w:hAnsi="Times New Roman CYR" w:cs="Times New Roman CYR"/>
                <w:i/>
                <w:iCs/>
                <w:sz w:val="18"/>
                <w:szCs w:val="18"/>
                <w:lang w:eastAsia="ru-RU"/>
              </w:rPr>
              <w:t>Operating</w:t>
            </w:r>
            <w:proofErr w:type="spellEnd"/>
            <w:r w:rsidRPr="0090117B">
              <w:rPr>
                <w:rFonts w:ascii="Times New Roman CYR" w:hAnsi="Times New Roman CYR" w:cs="Times New Roman CYR"/>
                <w:i/>
                <w:iCs/>
                <w:sz w:val="18"/>
                <w:szCs w:val="18"/>
                <w:lang w:eastAsia="ru-RU"/>
              </w:rPr>
              <w:t xml:space="preserve"> </w:t>
            </w:r>
            <w:proofErr w:type="spellStart"/>
            <w:r w:rsidRPr="0090117B">
              <w:rPr>
                <w:rFonts w:ascii="Times New Roman CYR" w:hAnsi="Times New Roman CYR" w:cs="Times New Roman CYR"/>
                <w:i/>
                <w:iCs/>
                <w:sz w:val="18"/>
                <w:szCs w:val="18"/>
                <w:lang w:eastAsia="ru-RU"/>
              </w:rPr>
              <w:t>margin</w:t>
            </w:r>
            <w:proofErr w:type="spellEnd"/>
            <w:r w:rsidRPr="0090117B">
              <w:rPr>
                <w:rFonts w:ascii="Times New Roman CYR" w:hAnsi="Times New Roman CYR" w:cs="Times New Roman CYR"/>
                <w:i/>
                <w:iCs/>
                <w:sz w:val="18"/>
                <w:szCs w:val="18"/>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i/>
                <w:iCs/>
                <w:sz w:val="18"/>
                <w:szCs w:val="18"/>
                <w:lang w:eastAsia="ru-RU"/>
              </w:rPr>
            </w:pPr>
            <w:r>
              <w:rPr>
                <w:rFonts w:ascii="Times New Roman CYR" w:hAnsi="Times New Roman CYR" w:cs="Times New Roman CYR"/>
                <w:i/>
                <w:iCs/>
                <w:sz w:val="18"/>
                <w:szCs w:val="18"/>
                <w:lang w:eastAsia="ru-RU"/>
              </w:rPr>
              <w:t>19,6%</w:t>
            </w:r>
          </w:p>
        </w:tc>
      </w:tr>
      <w:tr w:rsidR="008217E9" w:rsidRPr="0090117B" w:rsidTr="008217E9">
        <w:trPr>
          <w:trHeight w:val="255"/>
          <w:jc w:val="center"/>
        </w:trPr>
        <w:tc>
          <w:tcPr>
            <w:tcW w:w="5387" w:type="dxa"/>
            <w:tcBorders>
              <w:top w:val="nil"/>
              <w:left w:val="single" w:sz="8" w:space="0" w:color="auto"/>
              <w:bottom w:val="single" w:sz="4" w:space="0" w:color="auto"/>
              <w:right w:val="single" w:sz="8" w:space="0" w:color="auto"/>
            </w:tcBorders>
            <w:shd w:val="clear" w:color="auto" w:fill="auto"/>
            <w:noWrap/>
            <w:vAlign w:val="bottom"/>
            <w:hideMark/>
          </w:tcPr>
          <w:p w:rsidR="008217E9" w:rsidRPr="0090117B" w:rsidRDefault="008217E9" w:rsidP="009109AC">
            <w:pPr>
              <w:suppressAutoHyphens w:val="0"/>
              <w:ind w:firstLineChars="100" w:firstLine="181"/>
              <w:rPr>
                <w:rFonts w:ascii="Times New Roman CYR" w:hAnsi="Times New Roman CYR" w:cs="Times New Roman CYR"/>
                <w:b/>
                <w:bCs/>
                <w:sz w:val="18"/>
                <w:szCs w:val="18"/>
                <w:lang w:eastAsia="ru-RU"/>
              </w:rPr>
            </w:pPr>
            <w:r w:rsidRPr="0090117B">
              <w:rPr>
                <w:rFonts w:ascii="Times New Roman CYR" w:hAnsi="Times New Roman CYR" w:cs="Times New Roman CYR"/>
                <w:b/>
                <w:bCs/>
                <w:sz w:val="18"/>
                <w:szCs w:val="18"/>
                <w:lang w:eastAsia="ru-RU"/>
              </w:rPr>
              <w:t>Чистая прибыль</w:t>
            </w:r>
            <w:r>
              <w:rPr>
                <w:rFonts w:ascii="Times New Roman CYR" w:hAnsi="Times New Roman CYR" w:cs="Times New Roman CYR"/>
                <w:b/>
                <w:bCs/>
                <w:sz w:val="18"/>
                <w:szCs w:val="18"/>
                <w:lang w:eastAsia="ru-RU"/>
              </w:rPr>
              <w:t xml:space="preserve">  </w:t>
            </w:r>
          </w:p>
        </w:tc>
        <w:tc>
          <w:tcPr>
            <w:tcW w:w="1559" w:type="dxa"/>
            <w:tcBorders>
              <w:top w:val="nil"/>
              <w:left w:val="nil"/>
              <w:bottom w:val="single" w:sz="4"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b/>
                <w:bCs/>
                <w:sz w:val="18"/>
                <w:szCs w:val="18"/>
                <w:lang w:eastAsia="ru-RU"/>
              </w:rPr>
            </w:pPr>
            <w:r>
              <w:rPr>
                <w:rFonts w:ascii="Times New Roman CYR" w:hAnsi="Times New Roman CYR" w:cs="Times New Roman CYR"/>
                <w:b/>
                <w:bCs/>
                <w:sz w:val="18"/>
                <w:szCs w:val="18"/>
                <w:lang w:eastAsia="ru-RU"/>
              </w:rPr>
              <w:t>44 192</w:t>
            </w:r>
          </w:p>
        </w:tc>
      </w:tr>
      <w:tr w:rsidR="008217E9" w:rsidRPr="0090117B" w:rsidTr="008217E9">
        <w:trPr>
          <w:trHeight w:val="255"/>
          <w:jc w:val="center"/>
        </w:trPr>
        <w:tc>
          <w:tcPr>
            <w:tcW w:w="5387" w:type="dxa"/>
            <w:tcBorders>
              <w:top w:val="nil"/>
              <w:left w:val="single" w:sz="8" w:space="0" w:color="auto"/>
              <w:bottom w:val="nil"/>
              <w:right w:val="single" w:sz="8" w:space="0" w:color="auto"/>
            </w:tcBorders>
            <w:shd w:val="clear" w:color="auto" w:fill="auto"/>
            <w:noWrap/>
            <w:vAlign w:val="bottom"/>
            <w:hideMark/>
          </w:tcPr>
          <w:p w:rsidR="008217E9" w:rsidRPr="0090117B" w:rsidRDefault="008217E9" w:rsidP="0090117B">
            <w:pPr>
              <w:suppressAutoHyphens w:val="0"/>
              <w:ind w:firstLineChars="100" w:firstLine="180"/>
              <w:rPr>
                <w:rFonts w:ascii="Times New Roman CYR" w:hAnsi="Times New Roman CYR" w:cs="Times New Roman CYR"/>
                <w:i/>
                <w:iCs/>
                <w:sz w:val="18"/>
                <w:szCs w:val="18"/>
                <w:lang w:eastAsia="ru-RU"/>
              </w:rPr>
            </w:pPr>
            <w:r w:rsidRPr="0090117B">
              <w:rPr>
                <w:rFonts w:ascii="Times New Roman CYR" w:hAnsi="Times New Roman CYR" w:cs="Times New Roman CYR"/>
                <w:i/>
                <w:iCs/>
                <w:sz w:val="18"/>
                <w:szCs w:val="18"/>
                <w:lang w:eastAsia="ru-RU"/>
              </w:rPr>
              <w:t xml:space="preserve">   Маржа по чистой прибыли (</w:t>
            </w:r>
            <w:proofErr w:type="spellStart"/>
            <w:r w:rsidRPr="0090117B">
              <w:rPr>
                <w:rFonts w:ascii="Times New Roman CYR" w:hAnsi="Times New Roman CYR" w:cs="Times New Roman CYR"/>
                <w:i/>
                <w:iCs/>
                <w:sz w:val="18"/>
                <w:szCs w:val="18"/>
                <w:lang w:eastAsia="ru-RU"/>
              </w:rPr>
              <w:t>Net</w:t>
            </w:r>
            <w:proofErr w:type="spellEnd"/>
            <w:r w:rsidRPr="0090117B">
              <w:rPr>
                <w:rFonts w:ascii="Times New Roman CYR" w:hAnsi="Times New Roman CYR" w:cs="Times New Roman CYR"/>
                <w:i/>
                <w:iCs/>
                <w:sz w:val="18"/>
                <w:szCs w:val="18"/>
                <w:lang w:eastAsia="ru-RU"/>
              </w:rPr>
              <w:t xml:space="preserve"> </w:t>
            </w:r>
            <w:proofErr w:type="spellStart"/>
            <w:r w:rsidRPr="0090117B">
              <w:rPr>
                <w:rFonts w:ascii="Times New Roman CYR" w:hAnsi="Times New Roman CYR" w:cs="Times New Roman CYR"/>
                <w:i/>
                <w:iCs/>
                <w:sz w:val="18"/>
                <w:szCs w:val="18"/>
                <w:lang w:eastAsia="ru-RU"/>
              </w:rPr>
              <w:t>margin</w:t>
            </w:r>
            <w:proofErr w:type="spellEnd"/>
            <w:r w:rsidRPr="0090117B">
              <w:rPr>
                <w:rFonts w:ascii="Times New Roman CYR" w:hAnsi="Times New Roman CYR" w:cs="Times New Roman CYR"/>
                <w:i/>
                <w:iCs/>
                <w:sz w:val="18"/>
                <w:szCs w:val="18"/>
                <w:lang w:eastAsia="ru-RU"/>
              </w:rPr>
              <w:t>), %</w:t>
            </w:r>
          </w:p>
        </w:tc>
        <w:tc>
          <w:tcPr>
            <w:tcW w:w="1559" w:type="dxa"/>
            <w:tcBorders>
              <w:top w:val="nil"/>
              <w:left w:val="nil"/>
              <w:bottom w:val="nil"/>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i/>
                <w:iCs/>
                <w:sz w:val="18"/>
                <w:szCs w:val="18"/>
                <w:lang w:eastAsia="ru-RU"/>
              </w:rPr>
            </w:pPr>
            <w:r>
              <w:rPr>
                <w:rFonts w:ascii="Times New Roman CYR" w:hAnsi="Times New Roman CYR" w:cs="Times New Roman CYR"/>
                <w:i/>
                <w:iCs/>
                <w:sz w:val="18"/>
                <w:szCs w:val="18"/>
                <w:lang w:eastAsia="ru-RU"/>
              </w:rPr>
              <w:t>20,5%</w:t>
            </w:r>
          </w:p>
        </w:tc>
      </w:tr>
      <w:tr w:rsidR="008217E9" w:rsidRPr="0090117B" w:rsidTr="008217E9">
        <w:trPr>
          <w:trHeight w:val="309"/>
          <w:jc w:val="center"/>
        </w:trPr>
        <w:tc>
          <w:tcPr>
            <w:tcW w:w="538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217E9" w:rsidRPr="0090117B" w:rsidRDefault="008217E9" w:rsidP="009109AC">
            <w:pPr>
              <w:suppressAutoHyphens w:val="0"/>
              <w:ind w:firstLineChars="100" w:firstLine="181"/>
              <w:rPr>
                <w:rFonts w:ascii="Times New Roman CYR" w:hAnsi="Times New Roman CYR" w:cs="Times New Roman CYR"/>
                <w:b/>
                <w:bCs/>
                <w:sz w:val="18"/>
                <w:szCs w:val="18"/>
                <w:lang w:eastAsia="ru-RU"/>
              </w:rPr>
            </w:pPr>
            <w:r w:rsidRPr="0090117B">
              <w:rPr>
                <w:rFonts w:ascii="Times New Roman CYR" w:hAnsi="Times New Roman CYR" w:cs="Times New Roman CYR"/>
                <w:b/>
                <w:bCs/>
                <w:sz w:val="18"/>
                <w:szCs w:val="18"/>
                <w:lang w:eastAsia="ru-RU"/>
              </w:rPr>
              <w:t>Совокупный доход, итого</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8217E9" w:rsidRPr="0090117B" w:rsidRDefault="009109AC" w:rsidP="0090117B">
            <w:pPr>
              <w:suppressAutoHyphens w:val="0"/>
              <w:jc w:val="center"/>
              <w:rPr>
                <w:rFonts w:ascii="Times New Roman CYR" w:hAnsi="Times New Roman CYR" w:cs="Times New Roman CYR"/>
                <w:b/>
                <w:bCs/>
                <w:sz w:val="18"/>
                <w:szCs w:val="18"/>
                <w:lang w:eastAsia="ru-RU"/>
              </w:rPr>
            </w:pPr>
            <w:r>
              <w:rPr>
                <w:rFonts w:ascii="Times New Roman CYR" w:hAnsi="Times New Roman CYR" w:cs="Times New Roman CYR"/>
                <w:b/>
                <w:bCs/>
                <w:sz w:val="18"/>
                <w:szCs w:val="18"/>
                <w:lang w:eastAsia="ru-RU"/>
              </w:rPr>
              <w:t>82 707</w:t>
            </w:r>
          </w:p>
        </w:tc>
      </w:tr>
      <w:bookmarkEnd w:id="0"/>
    </w:tbl>
    <w:p w:rsidR="00C15D46" w:rsidRDefault="00C15D46" w:rsidP="00C15D46">
      <w:pPr>
        <w:ind w:left="902"/>
        <w:jc w:val="both"/>
        <w:rPr>
          <w:sz w:val="22"/>
          <w:szCs w:val="22"/>
        </w:rPr>
      </w:pPr>
    </w:p>
    <w:p w:rsidR="00E62A79" w:rsidRPr="009B0423" w:rsidRDefault="00E62A79" w:rsidP="005D0241">
      <w:pPr>
        <w:spacing w:before="120"/>
        <w:ind w:right="-628"/>
        <w:jc w:val="both"/>
        <w:outlineLvl w:val="0"/>
        <w:rPr>
          <w:rFonts w:eastAsia="Arial Unicode MS"/>
          <w:color w:val="000000"/>
          <w:sz w:val="21"/>
          <w:szCs w:val="21"/>
          <w:u w:color="000000"/>
        </w:rPr>
      </w:pPr>
    </w:p>
    <w:p w:rsidR="005D0241" w:rsidRPr="00DD5555" w:rsidRDefault="00651E19" w:rsidP="005D0241">
      <w:pPr>
        <w:ind w:right="-628"/>
        <w:jc w:val="both"/>
        <w:rPr>
          <w:b/>
          <w:sz w:val="23"/>
          <w:szCs w:val="23"/>
          <w:u w:val="single"/>
        </w:rPr>
      </w:pPr>
      <w:r>
        <w:rPr>
          <w:b/>
          <w:sz w:val="23"/>
          <w:szCs w:val="23"/>
          <w:u w:val="single"/>
        </w:rPr>
        <w:t>Консолидированная в</w:t>
      </w:r>
      <w:r w:rsidR="00DD5555" w:rsidRPr="00DD5555">
        <w:rPr>
          <w:b/>
          <w:sz w:val="23"/>
          <w:szCs w:val="23"/>
          <w:u w:val="single"/>
        </w:rPr>
        <w:t xml:space="preserve">ыручка </w:t>
      </w:r>
      <w:r w:rsidR="00BA3224" w:rsidRPr="00DD5555">
        <w:rPr>
          <w:b/>
          <w:sz w:val="23"/>
          <w:szCs w:val="23"/>
          <w:u w:val="single"/>
        </w:rPr>
        <w:t>ИСКЧ и доходы по отдельным проектам</w:t>
      </w:r>
    </w:p>
    <w:p w:rsidR="00B107D1" w:rsidRDefault="00B5516F" w:rsidP="00B5516F">
      <w:pPr>
        <w:pStyle w:val="a8"/>
        <w:suppressAutoHyphens w:val="0"/>
        <w:spacing w:before="240" w:after="0"/>
        <w:ind w:left="0" w:right="-539"/>
        <w:jc w:val="both"/>
        <w:rPr>
          <w:bCs/>
          <w:i/>
          <w:iCs/>
          <w:sz w:val="22"/>
          <w:szCs w:val="22"/>
        </w:rPr>
      </w:pPr>
      <w:r w:rsidRPr="002B578D">
        <w:rPr>
          <w:bCs/>
          <w:i/>
          <w:iCs/>
          <w:sz w:val="22"/>
          <w:szCs w:val="22"/>
        </w:rPr>
        <w:t xml:space="preserve">Консолидированная выручка за 1 полугодие 2013 г. составила </w:t>
      </w:r>
      <w:r w:rsidR="00586D81">
        <w:rPr>
          <w:bCs/>
          <w:i/>
          <w:iCs/>
          <w:sz w:val="22"/>
          <w:szCs w:val="22"/>
        </w:rPr>
        <w:t>215,</w:t>
      </w:r>
      <w:r w:rsidR="008B4D92">
        <w:rPr>
          <w:bCs/>
          <w:i/>
          <w:iCs/>
          <w:sz w:val="22"/>
          <w:szCs w:val="22"/>
        </w:rPr>
        <w:t>686</w:t>
      </w:r>
      <w:r w:rsidRPr="002B578D">
        <w:rPr>
          <w:bCs/>
          <w:sz w:val="22"/>
          <w:szCs w:val="22"/>
        </w:rPr>
        <w:t xml:space="preserve"> </w:t>
      </w:r>
      <w:r>
        <w:rPr>
          <w:bCs/>
          <w:i/>
          <w:iCs/>
          <w:sz w:val="22"/>
          <w:szCs w:val="22"/>
        </w:rPr>
        <w:t>млн. рублей</w:t>
      </w:r>
      <w:r w:rsidR="00B107D1">
        <w:rPr>
          <w:bCs/>
          <w:i/>
          <w:iCs/>
          <w:sz w:val="22"/>
          <w:szCs w:val="22"/>
        </w:rPr>
        <w:t>.</w:t>
      </w:r>
    </w:p>
    <w:p w:rsidR="00CD515D" w:rsidRPr="00CD515D" w:rsidRDefault="00B107D1" w:rsidP="00CD515D">
      <w:pPr>
        <w:pStyle w:val="a8"/>
        <w:suppressAutoHyphens w:val="0"/>
        <w:spacing w:before="120" w:after="0"/>
        <w:ind w:left="0" w:right="-539"/>
        <w:jc w:val="both"/>
        <w:rPr>
          <w:bCs/>
          <w:iCs/>
          <w:sz w:val="22"/>
          <w:szCs w:val="22"/>
        </w:rPr>
      </w:pPr>
      <w:r w:rsidRPr="00CD515D">
        <w:rPr>
          <w:sz w:val="22"/>
          <w:szCs w:val="22"/>
        </w:rPr>
        <w:t>Основную часть консолидированной выручки</w:t>
      </w:r>
      <w:r w:rsidR="002F4098" w:rsidRPr="00CD515D">
        <w:rPr>
          <w:sz w:val="22"/>
          <w:szCs w:val="22"/>
        </w:rPr>
        <w:t xml:space="preserve"> – 51,0%</w:t>
      </w:r>
      <w:r w:rsidRPr="00CD515D">
        <w:rPr>
          <w:sz w:val="22"/>
          <w:szCs w:val="22"/>
        </w:rPr>
        <w:t xml:space="preserve"> </w:t>
      </w:r>
      <w:r w:rsidR="002F4098" w:rsidRPr="00CD515D">
        <w:rPr>
          <w:sz w:val="22"/>
          <w:szCs w:val="22"/>
        </w:rPr>
        <w:t xml:space="preserve">– </w:t>
      </w:r>
      <w:r w:rsidRPr="00CD515D">
        <w:rPr>
          <w:sz w:val="22"/>
          <w:szCs w:val="22"/>
        </w:rPr>
        <w:t>составили доходы ОАО «ИСКЧ» (далее – «ИСКЧ»), а также его дочерней компании ЗАО «</w:t>
      </w:r>
      <w:proofErr w:type="spellStart"/>
      <w:r w:rsidRPr="00CD515D">
        <w:rPr>
          <w:sz w:val="22"/>
          <w:szCs w:val="22"/>
        </w:rPr>
        <w:t>Крионикс</w:t>
      </w:r>
      <w:proofErr w:type="spellEnd"/>
      <w:r w:rsidRPr="00CD515D">
        <w:rPr>
          <w:sz w:val="22"/>
          <w:szCs w:val="22"/>
        </w:rPr>
        <w:t xml:space="preserve">» от услуги забора, выделения и хранения </w:t>
      </w:r>
      <w:r w:rsidR="002F4098" w:rsidRPr="00CD515D">
        <w:rPr>
          <w:sz w:val="22"/>
          <w:szCs w:val="22"/>
        </w:rPr>
        <w:t>стволовых клеток пуповинной крови (</w:t>
      </w:r>
      <w:r w:rsidRPr="00CD515D">
        <w:rPr>
          <w:sz w:val="22"/>
          <w:szCs w:val="22"/>
        </w:rPr>
        <w:t>СК ПК</w:t>
      </w:r>
      <w:r w:rsidR="002F4098" w:rsidRPr="00CD515D">
        <w:rPr>
          <w:sz w:val="22"/>
          <w:szCs w:val="22"/>
        </w:rPr>
        <w:t>). Д</w:t>
      </w:r>
      <w:r w:rsidR="002F4098" w:rsidRPr="00CD515D">
        <w:rPr>
          <w:bCs/>
          <w:iCs/>
          <w:sz w:val="22"/>
          <w:szCs w:val="22"/>
        </w:rPr>
        <w:t>оля доходов от новых продуктов и услуг (</w:t>
      </w:r>
      <w:r w:rsidR="002F4098" w:rsidRPr="00CD515D">
        <w:rPr>
          <w:bCs/>
          <w:iCs/>
          <w:sz w:val="22"/>
          <w:szCs w:val="22"/>
          <w:lang w:val="en-US"/>
        </w:rPr>
        <w:t>SPRS</w:t>
      </w:r>
      <w:r w:rsidR="002F4098" w:rsidRPr="00CD515D">
        <w:rPr>
          <w:bCs/>
          <w:iCs/>
          <w:sz w:val="22"/>
          <w:szCs w:val="22"/>
        </w:rPr>
        <w:t xml:space="preserve">-терапия, Генетическая диагностика и консультирование, </w:t>
      </w:r>
      <w:proofErr w:type="spellStart"/>
      <w:r w:rsidR="002F4098" w:rsidRPr="00CD515D">
        <w:rPr>
          <w:bCs/>
          <w:iCs/>
          <w:sz w:val="22"/>
          <w:szCs w:val="22"/>
        </w:rPr>
        <w:t>Неоваскулген</w:t>
      </w:r>
      <w:proofErr w:type="spellEnd"/>
      <w:r w:rsidR="002F4098" w:rsidRPr="00CD515D">
        <w:rPr>
          <w:bCs/>
          <w:iCs/>
          <w:sz w:val="22"/>
          <w:szCs w:val="22"/>
          <w:vertAlign w:val="superscript"/>
        </w:rPr>
        <w:t>®</w:t>
      </w:r>
      <w:r w:rsidR="002F4098" w:rsidRPr="00CD515D">
        <w:rPr>
          <w:bCs/>
          <w:iCs/>
          <w:sz w:val="22"/>
          <w:szCs w:val="22"/>
        </w:rPr>
        <w:t xml:space="preserve">) составила 37,5% от консолидированной выручки. </w:t>
      </w:r>
    </w:p>
    <w:p w:rsidR="00B5516F" w:rsidRPr="00CD515D" w:rsidRDefault="00586D81" w:rsidP="00CD515D">
      <w:pPr>
        <w:pStyle w:val="a8"/>
        <w:suppressAutoHyphens w:val="0"/>
        <w:spacing w:before="120" w:after="0"/>
        <w:ind w:left="0" w:right="-539"/>
        <w:jc w:val="both"/>
        <w:rPr>
          <w:sz w:val="22"/>
          <w:szCs w:val="22"/>
        </w:rPr>
      </w:pPr>
      <w:r w:rsidRPr="00CD515D">
        <w:rPr>
          <w:bCs/>
          <w:iCs/>
          <w:sz w:val="22"/>
          <w:szCs w:val="22"/>
        </w:rPr>
        <w:t>В 1 полугодии</w:t>
      </w:r>
      <w:r w:rsidR="00B107D1" w:rsidRPr="00CD515D">
        <w:rPr>
          <w:bCs/>
          <w:iCs/>
          <w:sz w:val="22"/>
          <w:szCs w:val="22"/>
        </w:rPr>
        <w:t xml:space="preserve"> 2013 г. изменилась структура выручки: </w:t>
      </w:r>
      <w:r w:rsidR="00CD515D">
        <w:rPr>
          <w:bCs/>
          <w:iCs/>
          <w:sz w:val="22"/>
          <w:szCs w:val="22"/>
        </w:rPr>
        <w:t>значительную долю в ней заняли доходы от</w:t>
      </w:r>
      <w:r w:rsidR="00B107D1" w:rsidRPr="00CD515D">
        <w:rPr>
          <w:bCs/>
          <w:iCs/>
          <w:sz w:val="22"/>
          <w:szCs w:val="22"/>
        </w:rPr>
        <w:t xml:space="preserve"> продаж </w:t>
      </w:r>
      <w:r w:rsidR="00CD515D">
        <w:rPr>
          <w:bCs/>
          <w:iCs/>
          <w:sz w:val="22"/>
          <w:szCs w:val="22"/>
        </w:rPr>
        <w:t xml:space="preserve">инновационного </w:t>
      </w:r>
      <w:r w:rsidR="00B107D1" w:rsidRPr="00CD515D">
        <w:rPr>
          <w:bCs/>
          <w:iCs/>
          <w:sz w:val="22"/>
          <w:szCs w:val="22"/>
        </w:rPr>
        <w:t xml:space="preserve">препарата </w:t>
      </w:r>
      <w:proofErr w:type="spellStart"/>
      <w:r w:rsidR="00B107D1" w:rsidRPr="00CD515D">
        <w:rPr>
          <w:bCs/>
          <w:iCs/>
          <w:sz w:val="22"/>
          <w:szCs w:val="22"/>
        </w:rPr>
        <w:t>Неоваскулген</w:t>
      </w:r>
      <w:proofErr w:type="spellEnd"/>
      <w:r w:rsidR="00B107D1" w:rsidRPr="00CD515D">
        <w:rPr>
          <w:bCs/>
          <w:iCs/>
          <w:sz w:val="22"/>
          <w:szCs w:val="22"/>
          <w:vertAlign w:val="superscript"/>
        </w:rPr>
        <w:t>®</w:t>
      </w:r>
      <w:r w:rsidR="00B107D1" w:rsidRPr="00CD515D">
        <w:rPr>
          <w:bCs/>
          <w:iCs/>
          <w:sz w:val="22"/>
          <w:szCs w:val="22"/>
        </w:rPr>
        <w:t>, выведенн</w:t>
      </w:r>
      <w:r w:rsidR="00CD515D">
        <w:rPr>
          <w:bCs/>
          <w:iCs/>
          <w:sz w:val="22"/>
          <w:szCs w:val="22"/>
        </w:rPr>
        <w:t xml:space="preserve">ого ИСКЧ на рынок РФ в конце 2012 г. Рост продаж </w:t>
      </w:r>
      <w:proofErr w:type="spellStart"/>
      <w:r w:rsidR="00CD515D">
        <w:rPr>
          <w:bCs/>
          <w:iCs/>
          <w:sz w:val="22"/>
          <w:szCs w:val="22"/>
        </w:rPr>
        <w:t>Неоваскулгена</w:t>
      </w:r>
      <w:proofErr w:type="spellEnd"/>
      <w:r w:rsidR="00CD515D" w:rsidRPr="00CD515D">
        <w:rPr>
          <w:bCs/>
          <w:iCs/>
          <w:sz w:val="22"/>
          <w:szCs w:val="22"/>
          <w:vertAlign w:val="superscript"/>
        </w:rPr>
        <w:t>®</w:t>
      </w:r>
      <w:r w:rsidR="00B107D1" w:rsidRPr="00CD515D">
        <w:rPr>
          <w:bCs/>
          <w:iCs/>
          <w:sz w:val="22"/>
          <w:szCs w:val="22"/>
        </w:rPr>
        <w:t xml:space="preserve"> позитивно сказал</w:t>
      </w:r>
      <w:r w:rsidR="00CD515D">
        <w:rPr>
          <w:bCs/>
          <w:iCs/>
          <w:sz w:val="22"/>
          <w:szCs w:val="22"/>
        </w:rPr>
        <w:t>ся</w:t>
      </w:r>
      <w:r w:rsidR="00B107D1" w:rsidRPr="00CD515D">
        <w:rPr>
          <w:bCs/>
          <w:iCs/>
          <w:sz w:val="22"/>
          <w:szCs w:val="22"/>
        </w:rPr>
        <w:t xml:space="preserve"> </w:t>
      </w:r>
      <w:r w:rsidR="00CD515D">
        <w:rPr>
          <w:bCs/>
          <w:iCs/>
          <w:sz w:val="22"/>
          <w:szCs w:val="22"/>
        </w:rPr>
        <w:t xml:space="preserve">как </w:t>
      </w:r>
      <w:r w:rsidR="00B107D1" w:rsidRPr="00CD515D">
        <w:rPr>
          <w:bCs/>
          <w:iCs/>
          <w:sz w:val="22"/>
          <w:szCs w:val="22"/>
        </w:rPr>
        <w:t>на величине консолидированных доходов</w:t>
      </w:r>
      <w:r w:rsidR="00CD515D">
        <w:rPr>
          <w:bCs/>
          <w:iCs/>
          <w:sz w:val="22"/>
          <w:szCs w:val="22"/>
        </w:rPr>
        <w:t xml:space="preserve">, так </w:t>
      </w:r>
      <w:r w:rsidR="00B107D1" w:rsidRPr="00CD515D">
        <w:rPr>
          <w:bCs/>
          <w:iCs/>
          <w:sz w:val="22"/>
          <w:szCs w:val="22"/>
        </w:rPr>
        <w:t xml:space="preserve">и показателях </w:t>
      </w:r>
      <w:proofErr w:type="spellStart"/>
      <w:r w:rsidR="00B107D1" w:rsidRPr="00CD515D">
        <w:rPr>
          <w:bCs/>
          <w:iCs/>
          <w:sz w:val="22"/>
          <w:szCs w:val="22"/>
        </w:rPr>
        <w:t>маржинальности</w:t>
      </w:r>
      <w:proofErr w:type="spellEnd"/>
      <w:r w:rsidR="00B107D1" w:rsidRPr="00CD515D">
        <w:rPr>
          <w:bCs/>
          <w:iCs/>
          <w:sz w:val="22"/>
          <w:szCs w:val="22"/>
        </w:rPr>
        <w:t>.</w:t>
      </w:r>
    </w:p>
    <w:p w:rsidR="005D0241" w:rsidRPr="00EB560C" w:rsidRDefault="005D0241" w:rsidP="005D0241">
      <w:pPr>
        <w:ind w:right="-628"/>
        <w:jc w:val="both"/>
        <w:rPr>
          <w:sz w:val="22"/>
          <w:szCs w:val="22"/>
        </w:rPr>
      </w:pPr>
    </w:p>
    <w:p w:rsidR="00B4020C" w:rsidRDefault="00B4020C" w:rsidP="00CD515D">
      <w:pPr>
        <w:spacing w:before="120"/>
        <w:ind w:right="-680"/>
        <w:jc w:val="both"/>
        <w:rPr>
          <w:b/>
          <w:i/>
          <w:sz w:val="22"/>
          <w:szCs w:val="22"/>
        </w:rPr>
      </w:pPr>
    </w:p>
    <w:p w:rsidR="008F799F" w:rsidRPr="00BC303A" w:rsidRDefault="008F799F" w:rsidP="00CD515D">
      <w:pPr>
        <w:spacing w:before="120"/>
        <w:ind w:right="-680"/>
        <w:jc w:val="both"/>
        <w:rPr>
          <w:i/>
          <w:sz w:val="22"/>
          <w:szCs w:val="22"/>
        </w:rPr>
      </w:pPr>
      <w:r>
        <w:rPr>
          <w:b/>
          <w:i/>
          <w:sz w:val="22"/>
          <w:szCs w:val="22"/>
        </w:rPr>
        <w:t>У</w:t>
      </w:r>
      <w:r w:rsidRPr="00576677">
        <w:rPr>
          <w:b/>
          <w:i/>
          <w:sz w:val="22"/>
          <w:szCs w:val="22"/>
        </w:rPr>
        <w:t xml:space="preserve">слуга </w:t>
      </w:r>
      <w:r>
        <w:rPr>
          <w:b/>
          <w:i/>
          <w:sz w:val="22"/>
          <w:szCs w:val="22"/>
        </w:rPr>
        <w:t xml:space="preserve">забора, </w:t>
      </w:r>
      <w:r w:rsidRPr="00576677">
        <w:rPr>
          <w:b/>
          <w:i/>
          <w:sz w:val="22"/>
          <w:szCs w:val="22"/>
        </w:rPr>
        <w:t xml:space="preserve">выделения, </w:t>
      </w:r>
      <w:proofErr w:type="spellStart"/>
      <w:r w:rsidRPr="00576677">
        <w:rPr>
          <w:b/>
          <w:i/>
          <w:sz w:val="22"/>
          <w:szCs w:val="22"/>
        </w:rPr>
        <w:t>криоконсервации</w:t>
      </w:r>
      <w:proofErr w:type="spellEnd"/>
      <w:r w:rsidRPr="00576677">
        <w:rPr>
          <w:b/>
          <w:i/>
          <w:sz w:val="22"/>
          <w:szCs w:val="22"/>
        </w:rPr>
        <w:t xml:space="preserve"> и хранения </w:t>
      </w:r>
      <w:r>
        <w:rPr>
          <w:b/>
          <w:i/>
          <w:sz w:val="22"/>
          <w:szCs w:val="22"/>
        </w:rPr>
        <w:t>стволовых клеток пуповинной крови (</w:t>
      </w:r>
      <w:r w:rsidRPr="00576677">
        <w:rPr>
          <w:b/>
          <w:i/>
          <w:sz w:val="22"/>
          <w:szCs w:val="22"/>
        </w:rPr>
        <w:t>СК ПК</w:t>
      </w:r>
      <w:r>
        <w:rPr>
          <w:b/>
          <w:i/>
          <w:sz w:val="22"/>
          <w:szCs w:val="22"/>
        </w:rPr>
        <w:t xml:space="preserve">) – </w:t>
      </w:r>
      <w:proofErr w:type="spellStart"/>
      <w:r w:rsidRPr="00BC303A">
        <w:rPr>
          <w:i/>
          <w:sz w:val="22"/>
          <w:szCs w:val="22"/>
        </w:rPr>
        <w:t>биострахование</w:t>
      </w:r>
      <w:proofErr w:type="spellEnd"/>
      <w:r w:rsidRPr="00BC303A">
        <w:rPr>
          <w:i/>
          <w:sz w:val="22"/>
          <w:szCs w:val="22"/>
        </w:rPr>
        <w:t xml:space="preserve"> (</w:t>
      </w:r>
      <w:proofErr w:type="spellStart"/>
      <w:r w:rsidRPr="00BC303A">
        <w:rPr>
          <w:i/>
          <w:sz w:val="22"/>
          <w:szCs w:val="22"/>
        </w:rPr>
        <w:t>Гемабанк</w:t>
      </w:r>
      <w:proofErr w:type="spellEnd"/>
      <w:r w:rsidRPr="00BC303A">
        <w:rPr>
          <w:i/>
          <w:sz w:val="22"/>
          <w:szCs w:val="22"/>
          <w:vertAlign w:val="superscript"/>
        </w:rPr>
        <w:t>®</w:t>
      </w:r>
      <w:r w:rsidRPr="00BC303A">
        <w:rPr>
          <w:i/>
          <w:sz w:val="22"/>
          <w:szCs w:val="22"/>
        </w:rPr>
        <w:t>)</w:t>
      </w:r>
    </w:p>
    <w:p w:rsidR="008F799F" w:rsidRDefault="00EB1BD9" w:rsidP="008F799F">
      <w:pPr>
        <w:spacing w:before="240"/>
        <w:ind w:right="-629"/>
        <w:jc w:val="both"/>
        <w:rPr>
          <w:sz w:val="22"/>
          <w:szCs w:val="22"/>
        </w:rPr>
      </w:pPr>
      <w:r>
        <w:rPr>
          <w:sz w:val="22"/>
          <w:szCs w:val="22"/>
        </w:rPr>
        <w:t>Консолидированные доходы</w:t>
      </w:r>
      <w:r w:rsidR="008F799F">
        <w:rPr>
          <w:sz w:val="22"/>
          <w:szCs w:val="22"/>
        </w:rPr>
        <w:t xml:space="preserve"> от данной услуги составили по итогам 1 полугодия 2013 г.</w:t>
      </w:r>
      <w:r w:rsidR="00F46358">
        <w:rPr>
          <w:sz w:val="22"/>
          <w:szCs w:val="22"/>
        </w:rPr>
        <w:t xml:space="preserve"> </w:t>
      </w:r>
      <w:r>
        <w:rPr>
          <w:sz w:val="22"/>
          <w:szCs w:val="22"/>
        </w:rPr>
        <w:t>110,066</w:t>
      </w:r>
      <w:r w:rsidR="008F799F">
        <w:rPr>
          <w:sz w:val="22"/>
          <w:szCs w:val="22"/>
        </w:rPr>
        <w:t xml:space="preserve"> млн. рублей (</w:t>
      </w:r>
      <w:r w:rsidR="00F46358">
        <w:rPr>
          <w:sz w:val="22"/>
          <w:szCs w:val="22"/>
        </w:rPr>
        <w:t>51,0</w:t>
      </w:r>
      <w:r w:rsidR="008F799F">
        <w:rPr>
          <w:sz w:val="22"/>
          <w:szCs w:val="22"/>
        </w:rPr>
        <w:t xml:space="preserve">% от </w:t>
      </w:r>
      <w:r>
        <w:rPr>
          <w:sz w:val="22"/>
          <w:szCs w:val="22"/>
        </w:rPr>
        <w:t>консолидированной выручки</w:t>
      </w:r>
      <w:r w:rsidR="008F799F">
        <w:rPr>
          <w:sz w:val="22"/>
          <w:szCs w:val="22"/>
        </w:rPr>
        <w:t xml:space="preserve">). </w:t>
      </w:r>
    </w:p>
    <w:p w:rsidR="008F799F" w:rsidRPr="00456355" w:rsidRDefault="007C1064" w:rsidP="008F799F">
      <w:pPr>
        <w:spacing w:before="240"/>
        <w:ind w:left="284" w:right="-629"/>
        <w:jc w:val="both"/>
        <w:rPr>
          <w:sz w:val="21"/>
          <w:szCs w:val="21"/>
        </w:rPr>
      </w:pPr>
      <w:r w:rsidRPr="00456355">
        <w:rPr>
          <w:sz w:val="21"/>
          <w:szCs w:val="21"/>
        </w:rPr>
        <w:t>П</w:t>
      </w:r>
      <w:r w:rsidR="008F799F" w:rsidRPr="00456355">
        <w:rPr>
          <w:sz w:val="21"/>
          <w:szCs w:val="21"/>
        </w:rPr>
        <w:t xml:space="preserve">о состоянию </w:t>
      </w:r>
      <w:proofErr w:type="gramStart"/>
      <w:r w:rsidR="008F799F" w:rsidRPr="00456355">
        <w:rPr>
          <w:sz w:val="21"/>
          <w:szCs w:val="21"/>
        </w:rPr>
        <w:t>на конец</w:t>
      </w:r>
      <w:proofErr w:type="gramEnd"/>
      <w:r w:rsidR="00476D89" w:rsidRPr="00456355">
        <w:rPr>
          <w:sz w:val="21"/>
          <w:szCs w:val="21"/>
        </w:rPr>
        <w:t xml:space="preserve"> 1 полугодия</w:t>
      </w:r>
      <w:r w:rsidR="008F799F" w:rsidRPr="00456355">
        <w:rPr>
          <w:sz w:val="21"/>
          <w:szCs w:val="21"/>
        </w:rPr>
        <w:t xml:space="preserve"> 2013 г., в </w:t>
      </w:r>
      <w:proofErr w:type="spellStart"/>
      <w:r w:rsidR="008F799F" w:rsidRPr="00456355">
        <w:rPr>
          <w:sz w:val="21"/>
          <w:szCs w:val="21"/>
        </w:rPr>
        <w:t>Гемабанке</w:t>
      </w:r>
      <w:proofErr w:type="spellEnd"/>
      <w:r w:rsidR="008F799F" w:rsidRPr="00456355">
        <w:rPr>
          <w:sz w:val="21"/>
          <w:szCs w:val="21"/>
          <w:vertAlign w:val="superscript"/>
        </w:rPr>
        <w:t>®</w:t>
      </w:r>
      <w:r w:rsidR="008F799F" w:rsidRPr="00456355">
        <w:rPr>
          <w:sz w:val="21"/>
          <w:szCs w:val="21"/>
        </w:rPr>
        <w:t xml:space="preserve"> находилось на хранении более 18,4 тысяч персональных образцов СК ПК.</w:t>
      </w:r>
    </w:p>
    <w:p w:rsidR="008F799F" w:rsidRPr="00456355" w:rsidRDefault="007C1064" w:rsidP="008F799F">
      <w:pPr>
        <w:spacing w:before="120"/>
        <w:ind w:left="284" w:right="-629"/>
        <w:jc w:val="both"/>
        <w:rPr>
          <w:sz w:val="21"/>
          <w:szCs w:val="21"/>
        </w:rPr>
      </w:pPr>
      <w:r w:rsidRPr="0056073C">
        <w:rPr>
          <w:sz w:val="21"/>
          <w:szCs w:val="21"/>
        </w:rPr>
        <w:t>В крупнейшем украинском</w:t>
      </w:r>
      <w:r w:rsidR="008F799F" w:rsidRPr="0056073C">
        <w:rPr>
          <w:sz w:val="21"/>
          <w:szCs w:val="21"/>
        </w:rPr>
        <w:t xml:space="preserve"> банк</w:t>
      </w:r>
      <w:r w:rsidRPr="0056073C">
        <w:rPr>
          <w:sz w:val="21"/>
          <w:szCs w:val="21"/>
        </w:rPr>
        <w:t>е</w:t>
      </w:r>
      <w:r w:rsidR="008F799F" w:rsidRPr="0056073C">
        <w:rPr>
          <w:sz w:val="21"/>
          <w:szCs w:val="21"/>
        </w:rPr>
        <w:t xml:space="preserve"> пуповинной крови «</w:t>
      </w:r>
      <w:proofErr w:type="spellStart"/>
      <w:r w:rsidR="008F799F" w:rsidRPr="0056073C">
        <w:rPr>
          <w:sz w:val="21"/>
          <w:szCs w:val="21"/>
        </w:rPr>
        <w:t>Гемафонд</w:t>
      </w:r>
      <w:proofErr w:type="spellEnd"/>
      <w:r w:rsidR="008F799F" w:rsidRPr="0056073C">
        <w:rPr>
          <w:sz w:val="21"/>
          <w:szCs w:val="21"/>
        </w:rPr>
        <w:t>»</w:t>
      </w:r>
      <w:r w:rsidR="00AF2E96" w:rsidRPr="0056073C">
        <w:rPr>
          <w:sz w:val="21"/>
          <w:szCs w:val="21"/>
        </w:rPr>
        <w:t xml:space="preserve"> (ассоциированн</w:t>
      </w:r>
      <w:r w:rsidR="0056073C" w:rsidRPr="0056073C">
        <w:rPr>
          <w:sz w:val="21"/>
          <w:szCs w:val="21"/>
        </w:rPr>
        <w:t>ая компания</w:t>
      </w:r>
      <w:r w:rsidR="00AF2E96" w:rsidRPr="0056073C">
        <w:rPr>
          <w:sz w:val="21"/>
          <w:szCs w:val="21"/>
        </w:rPr>
        <w:t>, в которой</w:t>
      </w:r>
      <w:r w:rsidR="008F799F" w:rsidRPr="0056073C">
        <w:rPr>
          <w:sz w:val="21"/>
          <w:szCs w:val="21"/>
        </w:rPr>
        <w:t xml:space="preserve"> </w:t>
      </w:r>
      <w:r w:rsidR="00AF2E96" w:rsidRPr="0056073C">
        <w:rPr>
          <w:sz w:val="21"/>
          <w:szCs w:val="21"/>
        </w:rPr>
        <w:t>ОАО «</w:t>
      </w:r>
      <w:r w:rsidR="008F799F" w:rsidRPr="0056073C">
        <w:rPr>
          <w:sz w:val="21"/>
          <w:szCs w:val="21"/>
        </w:rPr>
        <w:t>ИСКЧ</w:t>
      </w:r>
      <w:r w:rsidR="00AF2E96" w:rsidRPr="0056073C">
        <w:rPr>
          <w:sz w:val="21"/>
          <w:szCs w:val="21"/>
        </w:rPr>
        <w:t>»</w:t>
      </w:r>
      <w:r w:rsidR="008F799F" w:rsidRPr="0056073C">
        <w:rPr>
          <w:sz w:val="21"/>
          <w:szCs w:val="21"/>
        </w:rPr>
        <w:t xml:space="preserve"> владеет 50%-й долей</w:t>
      </w:r>
      <w:r w:rsidR="00AF2E96" w:rsidRPr="0056073C">
        <w:rPr>
          <w:sz w:val="21"/>
          <w:szCs w:val="21"/>
        </w:rPr>
        <w:t>)</w:t>
      </w:r>
      <w:r w:rsidR="008F799F" w:rsidRPr="0056073C">
        <w:rPr>
          <w:sz w:val="21"/>
          <w:szCs w:val="21"/>
        </w:rPr>
        <w:t xml:space="preserve">, </w:t>
      </w:r>
      <w:r w:rsidRPr="0056073C">
        <w:rPr>
          <w:sz w:val="21"/>
          <w:szCs w:val="21"/>
        </w:rPr>
        <w:t>с</w:t>
      </w:r>
      <w:r w:rsidR="008F799F" w:rsidRPr="0056073C">
        <w:rPr>
          <w:sz w:val="21"/>
          <w:szCs w:val="21"/>
        </w:rPr>
        <w:t xml:space="preserve">овокупное количество образцов </w:t>
      </w:r>
      <w:r w:rsidRPr="0056073C">
        <w:rPr>
          <w:sz w:val="21"/>
          <w:szCs w:val="21"/>
        </w:rPr>
        <w:t>стволовых клеток человека</w:t>
      </w:r>
      <w:r w:rsidR="008F799F" w:rsidRPr="0056073C">
        <w:rPr>
          <w:sz w:val="21"/>
          <w:szCs w:val="21"/>
        </w:rPr>
        <w:t xml:space="preserve"> превысило</w:t>
      </w:r>
      <w:r w:rsidRPr="0056073C">
        <w:rPr>
          <w:sz w:val="21"/>
          <w:szCs w:val="21"/>
        </w:rPr>
        <w:t xml:space="preserve"> на конец отчетного периода</w:t>
      </w:r>
      <w:r w:rsidR="008F799F" w:rsidRPr="0056073C">
        <w:rPr>
          <w:sz w:val="21"/>
          <w:szCs w:val="21"/>
        </w:rPr>
        <w:t xml:space="preserve"> 6,5 тысяч единиц.</w:t>
      </w:r>
      <w:r w:rsidR="008F799F" w:rsidRPr="00456355">
        <w:rPr>
          <w:sz w:val="21"/>
          <w:szCs w:val="21"/>
        </w:rPr>
        <w:t xml:space="preserve"> </w:t>
      </w:r>
    </w:p>
    <w:p w:rsidR="00855376" w:rsidRDefault="00855376" w:rsidP="005D0241">
      <w:pPr>
        <w:ind w:right="-628"/>
        <w:jc w:val="both"/>
        <w:rPr>
          <w:b/>
          <w:sz w:val="22"/>
          <w:szCs w:val="22"/>
        </w:rPr>
      </w:pPr>
    </w:p>
    <w:p w:rsidR="008F799F" w:rsidRDefault="008F799F" w:rsidP="005D0241">
      <w:pPr>
        <w:ind w:right="-628"/>
        <w:jc w:val="both"/>
        <w:rPr>
          <w:b/>
          <w:sz w:val="22"/>
          <w:szCs w:val="22"/>
        </w:rPr>
      </w:pPr>
    </w:p>
    <w:p w:rsidR="00855376" w:rsidRPr="0091297A" w:rsidRDefault="00855376" w:rsidP="00855376">
      <w:pPr>
        <w:pStyle w:val="af"/>
        <w:spacing w:before="120"/>
        <w:ind w:right="-629"/>
        <w:jc w:val="both"/>
        <w:rPr>
          <w:rFonts w:ascii="Times New Roman" w:hAnsi="Times New Roman"/>
          <w:b/>
          <w:i w:val="0"/>
          <w:sz w:val="22"/>
          <w:szCs w:val="22"/>
          <w:lang w:val="ru-RU"/>
        </w:rPr>
      </w:pPr>
      <w:proofErr w:type="spellStart"/>
      <w:r w:rsidRPr="00FF325D">
        <w:rPr>
          <w:rFonts w:ascii="Times New Roman" w:hAnsi="Times New Roman"/>
          <w:b/>
          <w:bCs/>
          <w:sz w:val="22"/>
          <w:szCs w:val="22"/>
          <w:lang w:val="ru-RU"/>
        </w:rPr>
        <w:t>Неоваскулген</w:t>
      </w:r>
      <w:proofErr w:type="spellEnd"/>
      <w:r w:rsidRPr="00FF325D">
        <w:rPr>
          <w:rFonts w:ascii="Times New Roman" w:hAnsi="Times New Roman"/>
          <w:b/>
          <w:bCs/>
          <w:sz w:val="22"/>
          <w:szCs w:val="22"/>
          <w:vertAlign w:val="superscript"/>
          <w:lang w:val="ru-RU"/>
        </w:rPr>
        <w:t>®</w:t>
      </w:r>
      <w:r w:rsidRPr="00FF325D">
        <w:rPr>
          <w:rFonts w:ascii="Times New Roman" w:hAnsi="Times New Roman"/>
          <w:b/>
          <w:bCs/>
          <w:lang w:val="ru-RU"/>
        </w:rPr>
        <w:t xml:space="preserve"> </w:t>
      </w:r>
      <w:r w:rsidRPr="00FF325D">
        <w:rPr>
          <w:rFonts w:ascii="Times New Roman" w:hAnsi="Times New Roman"/>
          <w:b/>
          <w:sz w:val="22"/>
          <w:szCs w:val="22"/>
          <w:lang w:val="ru-RU"/>
        </w:rPr>
        <w:t xml:space="preserve">– </w:t>
      </w:r>
      <w:r w:rsidRPr="00484221">
        <w:rPr>
          <w:rFonts w:ascii="Times New Roman" w:hAnsi="Times New Roman"/>
          <w:sz w:val="22"/>
          <w:szCs w:val="22"/>
          <w:lang w:val="ru-RU"/>
        </w:rPr>
        <w:t xml:space="preserve">«первый в классе» </w:t>
      </w:r>
      <w:proofErr w:type="spellStart"/>
      <w:r w:rsidRPr="00484221">
        <w:rPr>
          <w:rFonts w:ascii="Times New Roman" w:hAnsi="Times New Roman"/>
          <w:sz w:val="22"/>
          <w:szCs w:val="22"/>
          <w:lang w:val="ru-RU"/>
        </w:rPr>
        <w:t>геннотерапевтический</w:t>
      </w:r>
      <w:proofErr w:type="spellEnd"/>
      <w:r w:rsidRPr="00484221">
        <w:rPr>
          <w:rFonts w:ascii="Times New Roman" w:hAnsi="Times New Roman"/>
          <w:sz w:val="22"/>
          <w:szCs w:val="22"/>
          <w:lang w:val="ru-RU"/>
        </w:rPr>
        <w:t xml:space="preserve"> препарат для лечения ишемии нижних конечностей атеросклеротического генеза (ХИНК, включая КИНК).</w:t>
      </w:r>
    </w:p>
    <w:p w:rsidR="00855376" w:rsidRPr="00562C82" w:rsidRDefault="00C77982" w:rsidP="00855376">
      <w:pPr>
        <w:spacing w:before="240"/>
        <w:ind w:right="-629"/>
        <w:jc w:val="both"/>
        <w:rPr>
          <w:sz w:val="22"/>
          <w:szCs w:val="22"/>
        </w:rPr>
      </w:pPr>
      <w:r>
        <w:rPr>
          <w:sz w:val="22"/>
          <w:szCs w:val="22"/>
        </w:rPr>
        <w:t>Д</w:t>
      </w:r>
      <w:r w:rsidR="00855376" w:rsidRPr="00562C82">
        <w:rPr>
          <w:sz w:val="22"/>
          <w:szCs w:val="22"/>
        </w:rPr>
        <w:t xml:space="preserve">оходы от реализации разработанного ИСКЧ инновационного препарата </w:t>
      </w:r>
      <w:proofErr w:type="spellStart"/>
      <w:r w:rsidR="00855376" w:rsidRPr="00562C82">
        <w:rPr>
          <w:sz w:val="22"/>
          <w:szCs w:val="22"/>
        </w:rPr>
        <w:t>Неоваскулген</w:t>
      </w:r>
      <w:proofErr w:type="spellEnd"/>
      <w:r w:rsidR="00855376" w:rsidRPr="00562C82">
        <w:rPr>
          <w:sz w:val="22"/>
          <w:szCs w:val="22"/>
          <w:vertAlign w:val="superscript"/>
        </w:rPr>
        <w:t xml:space="preserve">® </w:t>
      </w:r>
      <w:r w:rsidR="00855376" w:rsidRPr="00562C82">
        <w:rPr>
          <w:bCs/>
          <w:sz w:val="22"/>
          <w:szCs w:val="22"/>
        </w:rPr>
        <w:t xml:space="preserve">составили по итогам 1 </w:t>
      </w:r>
      <w:r w:rsidR="00855376">
        <w:rPr>
          <w:bCs/>
          <w:sz w:val="22"/>
          <w:szCs w:val="22"/>
        </w:rPr>
        <w:t>полугодия</w:t>
      </w:r>
      <w:r w:rsidR="00855376" w:rsidRPr="00562C82">
        <w:rPr>
          <w:bCs/>
          <w:sz w:val="22"/>
          <w:szCs w:val="22"/>
        </w:rPr>
        <w:t xml:space="preserve"> 2013 г</w:t>
      </w:r>
      <w:r w:rsidR="00855376">
        <w:rPr>
          <w:bCs/>
          <w:sz w:val="22"/>
          <w:szCs w:val="22"/>
        </w:rPr>
        <w:t>.</w:t>
      </w:r>
      <w:r w:rsidR="00855376" w:rsidRPr="00562C82">
        <w:rPr>
          <w:bCs/>
          <w:sz w:val="22"/>
          <w:szCs w:val="22"/>
        </w:rPr>
        <w:t xml:space="preserve"> </w:t>
      </w:r>
      <w:r>
        <w:rPr>
          <w:bCs/>
          <w:sz w:val="22"/>
          <w:szCs w:val="22"/>
        </w:rPr>
        <w:t>70</w:t>
      </w:r>
      <w:r w:rsidR="00855376">
        <w:rPr>
          <w:bCs/>
          <w:sz w:val="22"/>
          <w:szCs w:val="22"/>
        </w:rPr>
        <w:t>,</w:t>
      </w:r>
      <w:r>
        <w:rPr>
          <w:bCs/>
          <w:sz w:val="22"/>
          <w:szCs w:val="22"/>
        </w:rPr>
        <w:t>2</w:t>
      </w:r>
      <w:r w:rsidR="00855376">
        <w:rPr>
          <w:bCs/>
          <w:sz w:val="22"/>
          <w:szCs w:val="22"/>
        </w:rPr>
        <w:t>1</w:t>
      </w:r>
      <w:r>
        <w:rPr>
          <w:bCs/>
          <w:sz w:val="22"/>
          <w:szCs w:val="22"/>
        </w:rPr>
        <w:t>2</w:t>
      </w:r>
      <w:r w:rsidR="005B5EE9">
        <w:rPr>
          <w:bCs/>
          <w:sz w:val="22"/>
          <w:szCs w:val="22"/>
        </w:rPr>
        <w:t xml:space="preserve"> млн. рублей (32,6% от консолидированной выручки</w:t>
      </w:r>
      <w:r w:rsidR="00855376">
        <w:rPr>
          <w:bCs/>
          <w:sz w:val="22"/>
          <w:szCs w:val="22"/>
        </w:rPr>
        <w:t>).</w:t>
      </w:r>
    </w:p>
    <w:p w:rsidR="00855376" w:rsidRPr="005B5EE9" w:rsidRDefault="00855376" w:rsidP="00855376">
      <w:pPr>
        <w:spacing w:before="240"/>
        <w:ind w:left="284" w:right="-629"/>
        <w:jc w:val="both"/>
        <w:rPr>
          <w:bCs/>
          <w:sz w:val="21"/>
          <w:szCs w:val="21"/>
        </w:rPr>
      </w:pPr>
      <w:proofErr w:type="gramStart"/>
      <w:r w:rsidRPr="005B5EE9">
        <w:rPr>
          <w:sz w:val="21"/>
          <w:szCs w:val="21"/>
        </w:rPr>
        <w:t xml:space="preserve">Регистрационное удостоверение на </w:t>
      </w:r>
      <w:proofErr w:type="spellStart"/>
      <w:r w:rsidRPr="005B5EE9">
        <w:rPr>
          <w:sz w:val="21"/>
          <w:szCs w:val="21"/>
        </w:rPr>
        <w:t>Неоваскулген</w:t>
      </w:r>
      <w:proofErr w:type="spellEnd"/>
      <w:r w:rsidRPr="005B5EE9">
        <w:rPr>
          <w:sz w:val="21"/>
          <w:szCs w:val="21"/>
          <w:vertAlign w:val="superscript"/>
        </w:rPr>
        <w:t>®</w:t>
      </w:r>
      <w:r w:rsidRPr="005B5EE9">
        <w:rPr>
          <w:sz w:val="21"/>
          <w:szCs w:val="21"/>
        </w:rPr>
        <w:t xml:space="preserve"> (РУ № ЛП-000671) ИСКЧ получил 7 декабря 2011 г.. </w:t>
      </w:r>
      <w:r w:rsidRPr="005B5EE9">
        <w:rPr>
          <w:rStyle w:val="ae"/>
          <w:b w:val="0"/>
          <w:sz w:val="21"/>
          <w:szCs w:val="21"/>
        </w:rPr>
        <w:t xml:space="preserve">После налаживания процесса производства первых промышленных серий </w:t>
      </w:r>
      <w:proofErr w:type="spellStart"/>
      <w:r w:rsidRPr="005B5EE9">
        <w:rPr>
          <w:rStyle w:val="ae"/>
          <w:b w:val="0"/>
          <w:sz w:val="21"/>
          <w:szCs w:val="21"/>
        </w:rPr>
        <w:t>Неоваскулгена</w:t>
      </w:r>
      <w:proofErr w:type="spellEnd"/>
      <w:r w:rsidRPr="005B5EE9">
        <w:rPr>
          <w:rStyle w:val="ae"/>
          <w:b w:val="0"/>
          <w:sz w:val="21"/>
          <w:szCs w:val="21"/>
          <w:vertAlign w:val="superscript"/>
        </w:rPr>
        <w:t>®</w:t>
      </w:r>
      <w:r w:rsidRPr="005B5EE9">
        <w:rPr>
          <w:rStyle w:val="ae"/>
          <w:b w:val="0"/>
          <w:sz w:val="21"/>
          <w:szCs w:val="21"/>
        </w:rPr>
        <w:t xml:space="preserve">, а также завершения их сертификации (конец сентября 2012 г.), препарат поступил на российский рынок </w:t>
      </w:r>
      <w:r w:rsidRPr="005B5EE9">
        <w:rPr>
          <w:sz w:val="21"/>
          <w:szCs w:val="21"/>
        </w:rPr>
        <w:t>в качестве готового лекарственного средства (</w:t>
      </w:r>
      <w:proofErr w:type="spellStart"/>
      <w:r w:rsidRPr="005B5EE9">
        <w:rPr>
          <w:sz w:val="21"/>
          <w:szCs w:val="21"/>
        </w:rPr>
        <w:t>лиофилизат</w:t>
      </w:r>
      <w:proofErr w:type="spellEnd"/>
      <w:r w:rsidRPr="005B5EE9">
        <w:rPr>
          <w:sz w:val="21"/>
          <w:szCs w:val="21"/>
        </w:rPr>
        <w:t xml:space="preserve"> для приготовления раствора, курс – 2 инъекции /2 упаковки/) через сеть </w:t>
      </w:r>
      <w:proofErr w:type="spellStart"/>
      <w:r w:rsidRPr="005B5EE9">
        <w:rPr>
          <w:sz w:val="21"/>
          <w:szCs w:val="21"/>
        </w:rPr>
        <w:t>дистрибьютеров</w:t>
      </w:r>
      <w:proofErr w:type="spellEnd"/>
      <w:r w:rsidRPr="005B5EE9">
        <w:rPr>
          <w:sz w:val="21"/>
          <w:szCs w:val="21"/>
        </w:rPr>
        <w:t xml:space="preserve">. </w:t>
      </w:r>
      <w:r w:rsidRPr="005B5EE9">
        <w:rPr>
          <w:bCs/>
          <w:sz w:val="21"/>
          <w:szCs w:val="21"/>
        </w:rPr>
        <w:t xml:space="preserve"> </w:t>
      </w:r>
      <w:proofErr w:type="gramEnd"/>
    </w:p>
    <w:p w:rsidR="00855376" w:rsidRPr="005B5EE9" w:rsidRDefault="00855376" w:rsidP="00855376">
      <w:pPr>
        <w:spacing w:before="120"/>
        <w:ind w:left="284" w:right="-629"/>
        <w:jc w:val="both"/>
        <w:rPr>
          <w:bCs/>
          <w:sz w:val="21"/>
          <w:szCs w:val="21"/>
        </w:rPr>
      </w:pPr>
      <w:r w:rsidRPr="005B5EE9">
        <w:rPr>
          <w:rStyle w:val="style13359975970000000322s27"/>
          <w:sz w:val="21"/>
          <w:szCs w:val="21"/>
        </w:rPr>
        <w:t xml:space="preserve">В марте 2013 г. ИСКЧ подписал договор о поставке </w:t>
      </w:r>
      <w:proofErr w:type="spellStart"/>
      <w:r w:rsidRPr="005B5EE9">
        <w:rPr>
          <w:rStyle w:val="style13359975970000000322s27"/>
          <w:sz w:val="21"/>
          <w:szCs w:val="21"/>
        </w:rPr>
        <w:t>Неоваскулгена</w:t>
      </w:r>
      <w:proofErr w:type="spellEnd"/>
      <w:r w:rsidRPr="005B5EE9">
        <w:rPr>
          <w:rStyle w:val="ae"/>
          <w:b w:val="0"/>
          <w:sz w:val="21"/>
          <w:szCs w:val="21"/>
          <w:vertAlign w:val="superscript"/>
        </w:rPr>
        <w:t xml:space="preserve">® </w:t>
      </w:r>
      <w:r w:rsidRPr="005B5EE9">
        <w:rPr>
          <w:rStyle w:val="style13359975970000000322s27"/>
          <w:sz w:val="21"/>
          <w:szCs w:val="21"/>
        </w:rPr>
        <w:t xml:space="preserve"> </w:t>
      </w:r>
      <w:r w:rsidRPr="005B5EE9">
        <w:rPr>
          <w:rStyle w:val="ae"/>
          <w:b w:val="0"/>
          <w:sz w:val="21"/>
          <w:szCs w:val="21"/>
        </w:rPr>
        <w:t>ЗАО «</w:t>
      </w:r>
      <w:proofErr w:type="spellStart"/>
      <w:r w:rsidRPr="005B5EE9">
        <w:rPr>
          <w:rStyle w:val="ae"/>
          <w:b w:val="0"/>
          <w:sz w:val="21"/>
          <w:szCs w:val="21"/>
        </w:rPr>
        <w:t>ФармФирма</w:t>
      </w:r>
      <w:proofErr w:type="spellEnd"/>
      <w:r w:rsidRPr="005B5EE9">
        <w:rPr>
          <w:rStyle w:val="ae"/>
          <w:b w:val="0"/>
          <w:sz w:val="21"/>
          <w:szCs w:val="21"/>
        </w:rPr>
        <w:t xml:space="preserve"> «</w:t>
      </w:r>
      <w:proofErr w:type="spellStart"/>
      <w:r w:rsidRPr="005B5EE9">
        <w:rPr>
          <w:rStyle w:val="ae"/>
          <w:b w:val="0"/>
          <w:sz w:val="21"/>
          <w:szCs w:val="21"/>
        </w:rPr>
        <w:t>Сотекс</w:t>
      </w:r>
      <w:proofErr w:type="spellEnd"/>
      <w:r w:rsidRPr="005B5EE9">
        <w:rPr>
          <w:rStyle w:val="ae"/>
          <w:b w:val="0"/>
          <w:sz w:val="21"/>
          <w:szCs w:val="21"/>
        </w:rPr>
        <w:t>», входящей в ГК «ПРОТЕК» и имеющей опыт выведения на рынок лекарственных средств. Договор подписан компаниями на три коммерческих года. Поставки на первый год сотрудничества согласованы на сумму 211,75 млн. рублей.</w:t>
      </w:r>
    </w:p>
    <w:p w:rsidR="00855376" w:rsidRPr="005B5EE9" w:rsidRDefault="00855376" w:rsidP="00855376">
      <w:pPr>
        <w:spacing w:before="120"/>
        <w:ind w:left="284" w:right="-629"/>
        <w:jc w:val="both"/>
        <w:rPr>
          <w:sz w:val="21"/>
          <w:szCs w:val="21"/>
          <w:lang w:eastAsia="ru-RU"/>
        </w:rPr>
      </w:pPr>
      <w:r w:rsidRPr="005B5EE9">
        <w:rPr>
          <w:bCs/>
          <w:sz w:val="21"/>
          <w:szCs w:val="21"/>
        </w:rPr>
        <w:t xml:space="preserve">В планах ИСКЧ – комплексное развитие рынка препарата, в том числе осуществление работы по оформлению включения </w:t>
      </w:r>
      <w:proofErr w:type="spellStart"/>
      <w:r w:rsidRPr="005B5EE9">
        <w:rPr>
          <w:rStyle w:val="ae"/>
          <w:b w:val="0"/>
          <w:sz w:val="21"/>
          <w:szCs w:val="21"/>
        </w:rPr>
        <w:t>Неоваскулгена</w:t>
      </w:r>
      <w:proofErr w:type="spellEnd"/>
      <w:r w:rsidRPr="005B5EE9">
        <w:rPr>
          <w:rStyle w:val="ae"/>
          <w:b w:val="0"/>
          <w:sz w:val="21"/>
          <w:szCs w:val="21"/>
          <w:vertAlign w:val="superscript"/>
        </w:rPr>
        <w:t>®</w:t>
      </w:r>
      <w:r w:rsidRPr="005B5EE9">
        <w:rPr>
          <w:bCs/>
          <w:sz w:val="21"/>
          <w:szCs w:val="21"/>
        </w:rPr>
        <w:t xml:space="preserve"> в федеральные и региональные программы финансирования лекарственной помощи населению.  В 2013 году препарат вошел в </w:t>
      </w:r>
      <w:r w:rsidRPr="005B5EE9">
        <w:rPr>
          <w:sz w:val="21"/>
          <w:szCs w:val="21"/>
          <w:lang w:eastAsia="ru-RU"/>
        </w:rPr>
        <w:t xml:space="preserve">Национальные рекомендации по ведению пациентов с заболеваниями артерий нижних конечностей, новая редакция которых была утверждена в июне на международной конференции сосудистых хирургов в Новосибирске. Следующий этап – включение </w:t>
      </w:r>
      <w:proofErr w:type="spellStart"/>
      <w:r w:rsidRPr="005B5EE9">
        <w:rPr>
          <w:rStyle w:val="ae"/>
          <w:b w:val="0"/>
          <w:sz w:val="21"/>
          <w:szCs w:val="21"/>
        </w:rPr>
        <w:t>Неоваскулгена</w:t>
      </w:r>
      <w:proofErr w:type="spellEnd"/>
      <w:r w:rsidRPr="005B5EE9">
        <w:rPr>
          <w:rStyle w:val="ae"/>
          <w:b w:val="0"/>
          <w:sz w:val="21"/>
          <w:szCs w:val="21"/>
          <w:vertAlign w:val="superscript"/>
        </w:rPr>
        <w:t xml:space="preserve">® </w:t>
      </w:r>
      <w:r w:rsidRPr="005B5EE9">
        <w:rPr>
          <w:sz w:val="21"/>
          <w:szCs w:val="21"/>
          <w:lang w:eastAsia="ru-RU"/>
        </w:rPr>
        <w:t>в «Федеральные стандарты лечения», а также в региональные целевые программы лечения пациентов с ХИНК, что обеспечит возможность увеличения госпитальных закупок.</w:t>
      </w:r>
    </w:p>
    <w:p w:rsidR="00855376" w:rsidRPr="005B5EE9" w:rsidRDefault="00855376" w:rsidP="00855376">
      <w:pPr>
        <w:spacing w:before="120"/>
        <w:ind w:left="284" w:right="-629"/>
        <w:jc w:val="both"/>
        <w:rPr>
          <w:rStyle w:val="style13359975970000000322s27"/>
          <w:sz w:val="21"/>
          <w:szCs w:val="21"/>
        </w:rPr>
      </w:pPr>
      <w:r w:rsidRPr="005B5EE9">
        <w:rPr>
          <w:rStyle w:val="style13359975970000000322s27"/>
          <w:sz w:val="21"/>
          <w:szCs w:val="21"/>
        </w:rPr>
        <w:t xml:space="preserve">По оценкам ИСКЧ, в 2017 г. объем рынка </w:t>
      </w:r>
      <w:proofErr w:type="spellStart"/>
      <w:r w:rsidRPr="005B5EE9">
        <w:rPr>
          <w:rStyle w:val="ae"/>
          <w:b w:val="0"/>
          <w:sz w:val="21"/>
          <w:szCs w:val="21"/>
        </w:rPr>
        <w:t>Неоваскулгена</w:t>
      </w:r>
      <w:proofErr w:type="spellEnd"/>
      <w:r w:rsidRPr="005B5EE9">
        <w:rPr>
          <w:rStyle w:val="ae"/>
          <w:b w:val="0"/>
          <w:sz w:val="21"/>
          <w:szCs w:val="21"/>
          <w:vertAlign w:val="superscript"/>
        </w:rPr>
        <w:t xml:space="preserve">® </w:t>
      </w:r>
      <w:r w:rsidRPr="005B5EE9">
        <w:rPr>
          <w:rStyle w:val="style13359975970000000322s27"/>
          <w:sz w:val="21"/>
          <w:szCs w:val="21"/>
        </w:rPr>
        <w:t>в РФ может превысить 1,5 млрд. рублей.</w:t>
      </w:r>
    </w:p>
    <w:p w:rsidR="005B5EE9" w:rsidRPr="005B5EE9" w:rsidRDefault="00855376" w:rsidP="00855376">
      <w:pPr>
        <w:spacing w:before="120"/>
        <w:ind w:left="284" w:right="-628"/>
        <w:jc w:val="both"/>
        <w:rPr>
          <w:sz w:val="21"/>
          <w:szCs w:val="21"/>
        </w:rPr>
      </w:pPr>
      <w:r w:rsidRPr="005B5EE9">
        <w:rPr>
          <w:sz w:val="21"/>
          <w:szCs w:val="21"/>
        </w:rPr>
        <w:t xml:space="preserve">Кроме рынка РФ, ИСКЧ планирует вывести </w:t>
      </w:r>
      <w:proofErr w:type="spellStart"/>
      <w:r w:rsidRPr="005B5EE9">
        <w:rPr>
          <w:sz w:val="21"/>
          <w:szCs w:val="21"/>
        </w:rPr>
        <w:t>Неоваскулген</w:t>
      </w:r>
      <w:proofErr w:type="spellEnd"/>
      <w:r w:rsidRPr="005B5EE9">
        <w:rPr>
          <w:sz w:val="21"/>
          <w:szCs w:val="21"/>
          <w:vertAlign w:val="superscript"/>
        </w:rPr>
        <w:t>®</w:t>
      </w:r>
      <w:r w:rsidRPr="005B5EE9">
        <w:rPr>
          <w:sz w:val="21"/>
          <w:szCs w:val="21"/>
        </w:rPr>
        <w:t xml:space="preserve"> и на другие рынки. </w:t>
      </w:r>
    </w:p>
    <w:p w:rsidR="00855376" w:rsidRPr="005B5EE9" w:rsidRDefault="00855376" w:rsidP="00855376">
      <w:pPr>
        <w:spacing w:before="120"/>
        <w:ind w:left="284" w:right="-628"/>
        <w:jc w:val="both"/>
        <w:rPr>
          <w:sz w:val="21"/>
          <w:szCs w:val="21"/>
        </w:rPr>
      </w:pPr>
      <w:r w:rsidRPr="005B5EE9">
        <w:rPr>
          <w:sz w:val="21"/>
          <w:szCs w:val="21"/>
        </w:rPr>
        <w:t xml:space="preserve">В феврале 2013 г. регистрационное удостоверение на </w:t>
      </w:r>
      <w:proofErr w:type="spellStart"/>
      <w:r w:rsidRPr="005B5EE9">
        <w:rPr>
          <w:sz w:val="21"/>
          <w:szCs w:val="21"/>
        </w:rPr>
        <w:t>Неоваскулген</w:t>
      </w:r>
      <w:proofErr w:type="spellEnd"/>
      <w:r w:rsidRPr="005B5EE9">
        <w:rPr>
          <w:sz w:val="21"/>
          <w:szCs w:val="21"/>
          <w:vertAlign w:val="superscript"/>
        </w:rPr>
        <w:t>®</w:t>
      </w:r>
      <w:r w:rsidRPr="005B5EE9">
        <w:rPr>
          <w:sz w:val="21"/>
          <w:szCs w:val="21"/>
        </w:rPr>
        <w:t> получено в Украине:  первая поставка препарата в Украину состоялась во 2 квартале текущего года</w:t>
      </w:r>
      <w:r w:rsidR="005B5EE9" w:rsidRPr="005B5EE9">
        <w:rPr>
          <w:sz w:val="21"/>
          <w:szCs w:val="21"/>
        </w:rPr>
        <w:t>.</w:t>
      </w:r>
    </w:p>
    <w:p w:rsidR="00855376" w:rsidRPr="005B5EE9" w:rsidRDefault="00855376" w:rsidP="00855376">
      <w:pPr>
        <w:spacing w:before="120"/>
        <w:ind w:left="284" w:right="-628"/>
        <w:jc w:val="both"/>
        <w:rPr>
          <w:sz w:val="21"/>
          <w:szCs w:val="21"/>
        </w:rPr>
      </w:pPr>
      <w:r w:rsidRPr="005B5EE9">
        <w:rPr>
          <w:sz w:val="21"/>
          <w:szCs w:val="21"/>
        </w:rPr>
        <w:t xml:space="preserve">Также идет работа по выработке сценариев выхода на рынок США и стран </w:t>
      </w:r>
      <w:r w:rsidRPr="005B5EE9">
        <w:rPr>
          <w:sz w:val="21"/>
          <w:szCs w:val="21"/>
          <w:lang w:val="en-US"/>
        </w:rPr>
        <w:t>BRIC</w:t>
      </w:r>
      <w:r w:rsidRPr="005B5EE9">
        <w:rPr>
          <w:sz w:val="21"/>
          <w:szCs w:val="21"/>
        </w:rPr>
        <w:t xml:space="preserve"> помимо России (Китай, Индия). Процесс регистрации </w:t>
      </w:r>
      <w:proofErr w:type="spellStart"/>
      <w:r w:rsidRPr="005B5EE9">
        <w:rPr>
          <w:sz w:val="21"/>
          <w:szCs w:val="21"/>
        </w:rPr>
        <w:t>Неоваскулгена</w:t>
      </w:r>
      <w:proofErr w:type="spellEnd"/>
      <w:r w:rsidRPr="005B5EE9">
        <w:rPr>
          <w:sz w:val="21"/>
          <w:szCs w:val="21"/>
          <w:vertAlign w:val="superscript"/>
        </w:rPr>
        <w:t xml:space="preserve">® </w:t>
      </w:r>
      <w:r w:rsidRPr="005B5EE9">
        <w:rPr>
          <w:sz w:val="21"/>
          <w:szCs w:val="21"/>
        </w:rPr>
        <w:t>в данных странах может начаться уже в 2014 г.</w:t>
      </w:r>
    </w:p>
    <w:p w:rsidR="00855376" w:rsidRPr="005B5EE9" w:rsidRDefault="00855376" w:rsidP="00855376">
      <w:pPr>
        <w:autoSpaceDE w:val="0"/>
        <w:autoSpaceDN w:val="0"/>
        <w:adjustRightInd w:val="0"/>
        <w:spacing w:before="120"/>
        <w:ind w:left="284" w:right="-629"/>
        <w:jc w:val="both"/>
        <w:rPr>
          <w:color w:val="000000"/>
          <w:sz w:val="21"/>
          <w:szCs w:val="21"/>
        </w:rPr>
      </w:pPr>
      <w:r w:rsidRPr="005B5EE9">
        <w:rPr>
          <w:color w:val="000000"/>
          <w:sz w:val="21"/>
          <w:szCs w:val="21"/>
        </w:rPr>
        <w:t xml:space="preserve">Механизм действия </w:t>
      </w:r>
      <w:proofErr w:type="spellStart"/>
      <w:r w:rsidRPr="005B5EE9">
        <w:rPr>
          <w:color w:val="000000"/>
          <w:sz w:val="21"/>
          <w:szCs w:val="21"/>
        </w:rPr>
        <w:t>Неоваскулгена</w:t>
      </w:r>
      <w:proofErr w:type="spellEnd"/>
      <w:r w:rsidRPr="005B5EE9">
        <w:rPr>
          <w:color w:val="000000"/>
          <w:sz w:val="21"/>
          <w:szCs w:val="21"/>
          <w:vertAlign w:val="superscript"/>
        </w:rPr>
        <w:t>®</w:t>
      </w:r>
      <w:r w:rsidRPr="005B5EE9">
        <w:rPr>
          <w:color w:val="000000"/>
          <w:sz w:val="21"/>
          <w:szCs w:val="21"/>
        </w:rPr>
        <w:t xml:space="preserve"> – терапевтический </w:t>
      </w:r>
      <w:proofErr w:type="spellStart"/>
      <w:r w:rsidRPr="005B5EE9">
        <w:rPr>
          <w:color w:val="000000"/>
          <w:sz w:val="21"/>
          <w:szCs w:val="21"/>
        </w:rPr>
        <w:t>ангиогенез</w:t>
      </w:r>
      <w:proofErr w:type="spellEnd"/>
      <w:r w:rsidRPr="005B5EE9">
        <w:rPr>
          <w:color w:val="000000"/>
          <w:sz w:val="21"/>
          <w:szCs w:val="21"/>
        </w:rPr>
        <w:t xml:space="preserve"> – открывает новый подход в лечении ишемии тканей, и ИСКЧ ставит своей задачей разработать новые протоколы доклинических и клинических исследований для расширения показаний к применению препарата (другие нозологии, помимо ХИНК, в </w:t>
      </w:r>
      <w:proofErr w:type="spellStart"/>
      <w:r w:rsidRPr="005B5EE9">
        <w:rPr>
          <w:color w:val="000000"/>
          <w:sz w:val="21"/>
          <w:szCs w:val="21"/>
        </w:rPr>
        <w:t>т.ч</w:t>
      </w:r>
      <w:proofErr w:type="spellEnd"/>
      <w:r w:rsidRPr="005B5EE9">
        <w:rPr>
          <w:color w:val="000000"/>
          <w:sz w:val="21"/>
          <w:szCs w:val="21"/>
        </w:rPr>
        <w:t>. кардиологические заболевания).</w:t>
      </w:r>
    </w:p>
    <w:p w:rsidR="00855376" w:rsidRDefault="00855376" w:rsidP="005D0241">
      <w:pPr>
        <w:ind w:right="-628"/>
        <w:jc w:val="both"/>
        <w:rPr>
          <w:b/>
          <w:sz w:val="22"/>
          <w:szCs w:val="22"/>
        </w:rPr>
      </w:pPr>
    </w:p>
    <w:p w:rsidR="005D0241" w:rsidRDefault="005D0241" w:rsidP="005D0241">
      <w:pPr>
        <w:pStyle w:val="af"/>
        <w:ind w:left="1134" w:right="-628"/>
        <w:rPr>
          <w:rFonts w:ascii="Times New Roman" w:hAnsi="Times New Roman"/>
          <w:i w:val="0"/>
          <w:sz w:val="21"/>
          <w:szCs w:val="21"/>
          <w:lang w:val="ru-RU"/>
        </w:rPr>
      </w:pPr>
    </w:p>
    <w:p w:rsidR="005B5EE9" w:rsidRDefault="005B5EE9" w:rsidP="008F799F">
      <w:pPr>
        <w:ind w:right="-629"/>
        <w:jc w:val="both"/>
        <w:rPr>
          <w:b/>
          <w:sz w:val="22"/>
          <w:szCs w:val="22"/>
        </w:rPr>
      </w:pPr>
    </w:p>
    <w:p w:rsidR="005B5EE9" w:rsidRDefault="005B5EE9" w:rsidP="008F799F">
      <w:pPr>
        <w:ind w:right="-629"/>
        <w:jc w:val="both"/>
        <w:rPr>
          <w:b/>
          <w:sz w:val="22"/>
          <w:szCs w:val="22"/>
        </w:rPr>
      </w:pPr>
    </w:p>
    <w:p w:rsidR="005B5EE9" w:rsidRDefault="005B5EE9" w:rsidP="008F799F">
      <w:pPr>
        <w:ind w:right="-629"/>
        <w:jc w:val="both"/>
        <w:rPr>
          <w:b/>
          <w:sz w:val="22"/>
          <w:szCs w:val="22"/>
        </w:rPr>
      </w:pPr>
    </w:p>
    <w:p w:rsidR="008F799F" w:rsidRDefault="008F799F" w:rsidP="008F799F">
      <w:pPr>
        <w:ind w:right="-629"/>
        <w:jc w:val="both"/>
        <w:rPr>
          <w:rFonts w:eastAsia="MS Mincho"/>
          <w:b/>
          <w:sz w:val="22"/>
          <w:szCs w:val="22"/>
        </w:rPr>
      </w:pPr>
      <w:r w:rsidRPr="00AD3775">
        <w:rPr>
          <w:b/>
          <w:sz w:val="22"/>
          <w:szCs w:val="22"/>
        </w:rPr>
        <w:t>SPRS-терапия</w:t>
      </w:r>
      <w:r>
        <w:rPr>
          <w:b/>
          <w:sz w:val="22"/>
          <w:szCs w:val="22"/>
        </w:rPr>
        <w:t xml:space="preserve"> </w:t>
      </w:r>
      <w:r w:rsidRPr="000E64B8">
        <w:rPr>
          <w:sz w:val="22"/>
          <w:szCs w:val="22"/>
        </w:rPr>
        <w:t xml:space="preserve">– </w:t>
      </w:r>
      <w:r w:rsidRPr="00484221">
        <w:rPr>
          <w:rFonts w:eastAsia="MS Mincho"/>
          <w:i/>
          <w:sz w:val="22"/>
          <w:szCs w:val="22"/>
        </w:rPr>
        <w:t>комплекс персонализированных лечебно-диагностических процедур для восстановления кожи с признаками возрастных и иных структурных изменений.</w:t>
      </w:r>
      <w:r w:rsidRPr="0091297A">
        <w:rPr>
          <w:rFonts w:eastAsia="MS Mincho"/>
          <w:b/>
          <w:sz w:val="22"/>
          <w:szCs w:val="22"/>
        </w:rPr>
        <w:t xml:space="preserve"> </w:t>
      </w:r>
    </w:p>
    <w:p w:rsidR="008F799F" w:rsidRDefault="008F799F" w:rsidP="008F799F">
      <w:pPr>
        <w:spacing w:before="240"/>
        <w:ind w:right="-629"/>
        <w:jc w:val="both"/>
        <w:rPr>
          <w:sz w:val="22"/>
          <w:szCs w:val="22"/>
        </w:rPr>
      </w:pPr>
      <w:r>
        <w:rPr>
          <w:sz w:val="22"/>
          <w:szCs w:val="22"/>
        </w:rPr>
        <w:t xml:space="preserve">Доходы от услуги </w:t>
      </w:r>
      <w:r>
        <w:rPr>
          <w:sz w:val="22"/>
          <w:szCs w:val="22"/>
          <w:lang w:val="en-US"/>
        </w:rPr>
        <w:t>SPRS</w:t>
      </w:r>
      <w:r w:rsidRPr="001F5912">
        <w:rPr>
          <w:sz w:val="22"/>
          <w:szCs w:val="22"/>
        </w:rPr>
        <w:t>-</w:t>
      </w:r>
      <w:r>
        <w:rPr>
          <w:sz w:val="22"/>
          <w:szCs w:val="22"/>
        </w:rPr>
        <w:t xml:space="preserve">терапия, включая </w:t>
      </w:r>
      <w:proofErr w:type="gramStart"/>
      <w:r>
        <w:rPr>
          <w:sz w:val="22"/>
          <w:szCs w:val="22"/>
        </w:rPr>
        <w:t>долгосрочное</w:t>
      </w:r>
      <w:proofErr w:type="gramEnd"/>
      <w:r>
        <w:rPr>
          <w:sz w:val="22"/>
          <w:szCs w:val="22"/>
        </w:rPr>
        <w:t xml:space="preserve"> </w:t>
      </w:r>
      <w:proofErr w:type="spellStart"/>
      <w:r>
        <w:rPr>
          <w:sz w:val="22"/>
          <w:szCs w:val="22"/>
        </w:rPr>
        <w:t>криохранение</w:t>
      </w:r>
      <w:proofErr w:type="spellEnd"/>
      <w:r>
        <w:rPr>
          <w:sz w:val="22"/>
          <w:szCs w:val="22"/>
        </w:rPr>
        <w:t xml:space="preserve"> собственных фибробластов кожи, составили по итогам 1 полугодия 2013 г. 8,</w:t>
      </w:r>
      <w:r w:rsidR="005B5EE9">
        <w:rPr>
          <w:sz w:val="22"/>
          <w:szCs w:val="22"/>
        </w:rPr>
        <w:t>848</w:t>
      </w:r>
      <w:r>
        <w:rPr>
          <w:sz w:val="22"/>
          <w:szCs w:val="22"/>
        </w:rPr>
        <w:t xml:space="preserve"> млн. рублей </w:t>
      </w:r>
      <w:r w:rsidR="005B5EE9">
        <w:rPr>
          <w:sz w:val="22"/>
          <w:szCs w:val="22"/>
        </w:rPr>
        <w:t>(4,1</w:t>
      </w:r>
      <w:r>
        <w:rPr>
          <w:sz w:val="22"/>
          <w:szCs w:val="22"/>
        </w:rPr>
        <w:t xml:space="preserve">% от </w:t>
      </w:r>
      <w:r w:rsidR="00476D89">
        <w:rPr>
          <w:sz w:val="22"/>
          <w:szCs w:val="22"/>
        </w:rPr>
        <w:t>консолидированной выручки</w:t>
      </w:r>
      <w:r>
        <w:rPr>
          <w:sz w:val="22"/>
          <w:szCs w:val="22"/>
        </w:rPr>
        <w:t xml:space="preserve">). </w:t>
      </w:r>
    </w:p>
    <w:p w:rsidR="008F799F" w:rsidRPr="00B02B12" w:rsidRDefault="008F799F" w:rsidP="008F799F">
      <w:pPr>
        <w:ind w:left="709" w:right="-628"/>
        <w:jc w:val="both"/>
        <w:rPr>
          <w:rFonts w:eastAsia="MS Mincho"/>
          <w:sz w:val="22"/>
          <w:szCs w:val="22"/>
        </w:rPr>
      </w:pPr>
    </w:p>
    <w:p w:rsidR="008F799F" w:rsidRPr="00DD6301" w:rsidRDefault="008F799F" w:rsidP="008F799F">
      <w:pPr>
        <w:pStyle w:val="af"/>
        <w:ind w:left="284" w:right="-628"/>
        <w:jc w:val="both"/>
        <w:rPr>
          <w:rStyle w:val="Subst"/>
          <w:rFonts w:ascii="Times New Roman" w:hAnsi="Times New Roman"/>
          <w:b w:val="0"/>
          <w:bCs/>
          <w:iCs w:val="0"/>
          <w:sz w:val="21"/>
          <w:szCs w:val="21"/>
          <w:lang w:val="ru-RU"/>
        </w:rPr>
      </w:pPr>
      <w:r w:rsidRPr="00DD6301">
        <w:rPr>
          <w:rFonts w:ascii="Times New Roman" w:hAnsi="Times New Roman"/>
          <w:i w:val="0"/>
          <w:sz w:val="21"/>
          <w:szCs w:val="21"/>
          <w:lang w:val="ru-RU"/>
        </w:rPr>
        <w:t xml:space="preserve">Услуга была выведена на рынок, начиная с января 2011 года, и оказывается на основе </w:t>
      </w:r>
      <w:r w:rsidR="007D5F26" w:rsidRPr="00DD6301">
        <w:rPr>
          <w:rFonts w:ascii="Times New Roman" w:hAnsi="Times New Roman"/>
          <w:i w:val="0"/>
          <w:sz w:val="21"/>
          <w:szCs w:val="21"/>
          <w:lang w:val="ru-RU"/>
        </w:rPr>
        <w:t>зарегистрированной</w:t>
      </w:r>
      <w:r w:rsidRPr="00DD6301">
        <w:rPr>
          <w:rFonts w:ascii="Times New Roman" w:hAnsi="Times New Roman"/>
          <w:i w:val="0"/>
          <w:sz w:val="21"/>
          <w:szCs w:val="21"/>
          <w:lang w:val="ru-RU"/>
        </w:rPr>
        <w:t xml:space="preserve"> инновационной медицинской технологии применения </w:t>
      </w:r>
      <w:proofErr w:type="spellStart"/>
      <w:r w:rsidRPr="00DD6301">
        <w:rPr>
          <w:rFonts w:ascii="Times New Roman" w:hAnsi="Times New Roman"/>
          <w:i w:val="0"/>
          <w:sz w:val="21"/>
          <w:szCs w:val="21"/>
          <w:lang w:val="ru-RU"/>
        </w:rPr>
        <w:t>аутологичных</w:t>
      </w:r>
      <w:proofErr w:type="spellEnd"/>
      <w:r w:rsidRPr="00DD6301">
        <w:rPr>
          <w:rFonts w:ascii="Times New Roman" w:hAnsi="Times New Roman"/>
          <w:i w:val="0"/>
          <w:sz w:val="21"/>
          <w:szCs w:val="21"/>
          <w:lang w:val="ru-RU"/>
        </w:rPr>
        <w:t xml:space="preserve"> </w:t>
      </w:r>
      <w:proofErr w:type="spellStart"/>
      <w:r w:rsidRPr="00DD6301">
        <w:rPr>
          <w:rFonts w:ascii="Times New Roman" w:hAnsi="Times New Roman"/>
          <w:i w:val="0"/>
          <w:sz w:val="21"/>
          <w:szCs w:val="21"/>
          <w:lang w:val="ru-RU"/>
        </w:rPr>
        <w:t>дермальных</w:t>
      </w:r>
      <w:proofErr w:type="spellEnd"/>
      <w:r w:rsidRPr="00DD6301">
        <w:rPr>
          <w:rFonts w:ascii="Times New Roman" w:hAnsi="Times New Roman"/>
          <w:i w:val="0"/>
          <w:sz w:val="21"/>
          <w:szCs w:val="21"/>
          <w:lang w:val="ru-RU"/>
        </w:rPr>
        <w:t xml:space="preserve"> фибробластов для коррекции возрастных и рубцовых дефектов кожи. Включает проведение диагностики состояния кожи пациента, курс терапии с использованием клеточного препарата, содержащего собственные </w:t>
      </w:r>
      <w:proofErr w:type="spellStart"/>
      <w:r w:rsidRPr="00DD6301">
        <w:rPr>
          <w:rFonts w:ascii="Times New Roman" w:hAnsi="Times New Roman"/>
          <w:i w:val="0"/>
          <w:sz w:val="21"/>
          <w:szCs w:val="21"/>
          <w:lang w:val="ru-RU"/>
        </w:rPr>
        <w:t>дермальные</w:t>
      </w:r>
      <w:proofErr w:type="spellEnd"/>
      <w:r w:rsidRPr="00DD6301">
        <w:rPr>
          <w:rFonts w:ascii="Times New Roman" w:hAnsi="Times New Roman"/>
          <w:i w:val="0"/>
          <w:sz w:val="21"/>
          <w:szCs w:val="21"/>
          <w:lang w:val="ru-RU"/>
        </w:rPr>
        <w:t xml:space="preserve"> фибробласты, а также долгосрочное хранение культуры </w:t>
      </w:r>
      <w:proofErr w:type="spellStart"/>
      <w:r w:rsidRPr="00DD6301">
        <w:rPr>
          <w:rFonts w:ascii="Times New Roman" w:hAnsi="Times New Roman"/>
          <w:i w:val="0"/>
          <w:sz w:val="21"/>
          <w:szCs w:val="21"/>
          <w:lang w:val="ru-RU"/>
        </w:rPr>
        <w:t>аутофибробластов</w:t>
      </w:r>
      <w:proofErr w:type="spellEnd"/>
      <w:r w:rsidRPr="00DD6301">
        <w:rPr>
          <w:rFonts w:ascii="Times New Roman" w:hAnsi="Times New Roman"/>
          <w:i w:val="0"/>
          <w:sz w:val="21"/>
          <w:szCs w:val="21"/>
          <w:lang w:val="ru-RU"/>
        </w:rPr>
        <w:t xml:space="preserve"> кожи в </w:t>
      </w:r>
      <w:proofErr w:type="spellStart"/>
      <w:r w:rsidRPr="00DD6301">
        <w:rPr>
          <w:rFonts w:ascii="Times New Roman" w:hAnsi="Times New Roman"/>
          <w:i w:val="0"/>
          <w:sz w:val="21"/>
          <w:szCs w:val="21"/>
          <w:lang w:val="ru-RU"/>
        </w:rPr>
        <w:t>криобанке</w:t>
      </w:r>
      <w:proofErr w:type="spellEnd"/>
      <w:r w:rsidRPr="00DD6301">
        <w:rPr>
          <w:rFonts w:ascii="Times New Roman" w:hAnsi="Times New Roman"/>
          <w:i w:val="0"/>
          <w:sz w:val="21"/>
          <w:szCs w:val="21"/>
          <w:lang w:val="ru-RU"/>
        </w:rPr>
        <w:t xml:space="preserve">. </w:t>
      </w:r>
    </w:p>
    <w:p w:rsidR="008F799F" w:rsidRPr="00DD6301" w:rsidRDefault="008F799F" w:rsidP="008F799F">
      <w:pPr>
        <w:pStyle w:val="af"/>
        <w:spacing w:before="120"/>
        <w:ind w:left="284" w:right="-629"/>
        <w:jc w:val="both"/>
        <w:rPr>
          <w:rStyle w:val="Subst"/>
          <w:rFonts w:ascii="Times New Roman" w:hAnsi="Times New Roman"/>
          <w:b w:val="0"/>
          <w:bCs/>
          <w:sz w:val="21"/>
          <w:szCs w:val="21"/>
          <w:lang w:val="ru-RU"/>
        </w:rPr>
      </w:pPr>
      <w:r w:rsidRPr="00DD6301">
        <w:rPr>
          <w:rFonts w:ascii="Times New Roman" w:hAnsi="Times New Roman"/>
          <w:i w:val="0"/>
          <w:sz w:val="21"/>
          <w:szCs w:val="21"/>
          <w:lang w:val="ru-RU"/>
        </w:rPr>
        <w:t>Предоставление услуги, в основном, осуществляется</w:t>
      </w:r>
      <w:r w:rsidRPr="00DD6301">
        <w:rPr>
          <w:rStyle w:val="Subst"/>
          <w:rFonts w:ascii="Times New Roman" w:hAnsi="Times New Roman"/>
          <w:b w:val="0"/>
          <w:bCs/>
          <w:i/>
          <w:iCs w:val="0"/>
          <w:sz w:val="21"/>
          <w:szCs w:val="21"/>
          <w:lang w:val="ru-RU"/>
        </w:rPr>
        <w:t xml:space="preserve"> </w:t>
      </w:r>
      <w:r w:rsidRPr="00DD6301">
        <w:rPr>
          <w:rStyle w:val="Subst"/>
          <w:rFonts w:ascii="Times New Roman" w:hAnsi="Times New Roman"/>
          <w:b w:val="0"/>
          <w:bCs/>
          <w:iCs w:val="0"/>
          <w:sz w:val="21"/>
          <w:szCs w:val="21"/>
          <w:lang w:val="ru-RU"/>
        </w:rPr>
        <w:t>через клиники эстетической медицины г. Москвы, однако, в 2012 году также началось сотрудничество с клиниками в регионах РФ.</w:t>
      </w:r>
    </w:p>
    <w:p w:rsidR="008F799F" w:rsidRPr="00DD6301" w:rsidRDefault="008F799F" w:rsidP="008F799F">
      <w:pPr>
        <w:pStyle w:val="af"/>
        <w:spacing w:before="120"/>
        <w:ind w:left="284" w:right="-629"/>
        <w:jc w:val="both"/>
        <w:rPr>
          <w:rStyle w:val="Subst"/>
          <w:rFonts w:ascii="Times New Roman" w:hAnsi="Times New Roman"/>
          <w:b w:val="0"/>
          <w:bCs/>
          <w:sz w:val="21"/>
          <w:szCs w:val="21"/>
          <w:lang w:val="ru-RU"/>
        </w:rPr>
      </w:pPr>
      <w:r w:rsidRPr="00DD6301">
        <w:rPr>
          <w:rStyle w:val="Subst"/>
          <w:rFonts w:ascii="Times New Roman" w:hAnsi="Times New Roman"/>
          <w:b w:val="0"/>
          <w:bCs/>
          <w:sz w:val="21"/>
          <w:szCs w:val="21"/>
          <w:lang w:val="ru-RU"/>
        </w:rPr>
        <w:t xml:space="preserve">Общее количество пациентов </w:t>
      </w:r>
      <w:proofErr w:type="gramStart"/>
      <w:r w:rsidRPr="00DD6301">
        <w:rPr>
          <w:rStyle w:val="Subst"/>
          <w:rFonts w:ascii="Times New Roman" w:hAnsi="Times New Roman"/>
          <w:b w:val="0"/>
          <w:bCs/>
          <w:sz w:val="21"/>
          <w:szCs w:val="21"/>
          <w:lang w:val="ru-RU"/>
        </w:rPr>
        <w:t>на конец</w:t>
      </w:r>
      <w:proofErr w:type="gramEnd"/>
      <w:r w:rsidRPr="00DD6301">
        <w:rPr>
          <w:rStyle w:val="Subst"/>
          <w:rFonts w:ascii="Times New Roman" w:hAnsi="Times New Roman"/>
          <w:b w:val="0"/>
          <w:bCs/>
          <w:sz w:val="21"/>
          <w:szCs w:val="21"/>
          <w:lang w:val="ru-RU"/>
        </w:rPr>
        <w:t xml:space="preserve"> 1 полугодия 2013 г. составило 293 человека (полностью пролечено 230 пациентов, треть из которых обратилась повторно – два и более раз – для лечения кожи областей, помимо лица).</w:t>
      </w:r>
    </w:p>
    <w:p w:rsidR="008F799F" w:rsidRPr="00DD6301" w:rsidRDefault="008F799F" w:rsidP="008F799F">
      <w:pPr>
        <w:spacing w:before="120"/>
        <w:ind w:left="284" w:right="-628"/>
        <w:jc w:val="both"/>
        <w:rPr>
          <w:rFonts w:eastAsia="Calibri"/>
          <w:bCs/>
          <w:iCs/>
          <w:sz w:val="21"/>
          <w:szCs w:val="21"/>
          <w:lang w:eastAsia="en-US" w:bidi="en-US"/>
        </w:rPr>
      </w:pPr>
      <w:r w:rsidRPr="00DD6301">
        <w:rPr>
          <w:rFonts w:eastAsia="Calibri"/>
          <w:bCs/>
          <w:iCs/>
          <w:sz w:val="21"/>
          <w:szCs w:val="21"/>
          <w:lang w:eastAsia="en-US" w:bidi="en-US"/>
        </w:rPr>
        <w:t>Наряду с продолжением работы с врачами и клиниками эстетической медицины,</w:t>
      </w:r>
      <w:r w:rsidRPr="00DD6301">
        <w:rPr>
          <w:rStyle w:val="Subst"/>
          <w:rFonts w:eastAsia="Calibri"/>
          <w:b w:val="0"/>
          <w:bCs/>
          <w:i w:val="0"/>
          <w:iCs/>
          <w:sz w:val="21"/>
          <w:szCs w:val="21"/>
          <w:lang w:eastAsia="en-US" w:bidi="en-US"/>
        </w:rPr>
        <w:t xml:space="preserve"> в отчетном полугодии началась </w:t>
      </w:r>
      <w:r w:rsidRPr="00DD6301">
        <w:rPr>
          <w:rFonts w:eastAsia="Calibri"/>
          <w:bCs/>
          <w:iCs/>
          <w:sz w:val="21"/>
          <w:szCs w:val="21"/>
          <w:lang w:eastAsia="en-US" w:bidi="en-US"/>
        </w:rPr>
        <w:t xml:space="preserve">реализация нового направления маркетинговой стратегии, нацеленного на продвижение услуги </w:t>
      </w:r>
      <w:r w:rsidRPr="00DD6301">
        <w:rPr>
          <w:rFonts w:eastAsia="Calibri"/>
          <w:bCs/>
          <w:iCs/>
          <w:sz w:val="21"/>
          <w:szCs w:val="21"/>
          <w:lang w:val="en-US" w:eastAsia="en-US" w:bidi="en-US"/>
        </w:rPr>
        <w:t>SPRS</w:t>
      </w:r>
      <w:r w:rsidRPr="00DD6301">
        <w:rPr>
          <w:rFonts w:eastAsia="Calibri"/>
          <w:bCs/>
          <w:iCs/>
          <w:sz w:val="21"/>
          <w:szCs w:val="21"/>
          <w:lang w:eastAsia="en-US" w:bidi="en-US"/>
        </w:rPr>
        <w:t>-терапия непосредственно в среде конечного потребителя.</w:t>
      </w:r>
    </w:p>
    <w:p w:rsidR="008F799F" w:rsidRPr="00DD6301" w:rsidRDefault="008F799F" w:rsidP="008F799F">
      <w:pPr>
        <w:spacing w:before="120"/>
        <w:ind w:left="284" w:right="-628"/>
        <w:jc w:val="both"/>
        <w:rPr>
          <w:rStyle w:val="Subst"/>
          <w:rFonts w:eastAsia="Calibri"/>
          <w:sz w:val="21"/>
          <w:szCs w:val="21"/>
          <w:lang w:eastAsia="en-US" w:bidi="en-US"/>
        </w:rPr>
      </w:pPr>
      <w:r w:rsidRPr="00DD6301">
        <w:rPr>
          <w:rStyle w:val="Subst"/>
          <w:rFonts w:eastAsia="Calibri"/>
          <w:b w:val="0"/>
          <w:bCs/>
          <w:i w:val="0"/>
          <w:iCs/>
          <w:sz w:val="21"/>
          <w:szCs w:val="21"/>
          <w:lang w:eastAsia="en-US" w:bidi="en-US"/>
        </w:rPr>
        <w:t xml:space="preserve">Также во 2 квартале 2013 г. ИСКЧ сообщил о результатах 2-годичных исследований применения технологии SPRS-терапия и её эффективности. </w:t>
      </w:r>
      <w:proofErr w:type="gramStart"/>
      <w:r w:rsidRPr="00DD6301">
        <w:rPr>
          <w:rStyle w:val="Subst"/>
          <w:rFonts w:eastAsia="Calibri"/>
          <w:b w:val="0"/>
          <w:bCs/>
          <w:i w:val="0"/>
          <w:iCs/>
          <w:sz w:val="21"/>
          <w:szCs w:val="21"/>
          <w:lang w:eastAsia="en-US" w:bidi="en-US"/>
        </w:rPr>
        <w:t xml:space="preserve">Результаты исследований (опубликованы в журнале "Клиническая дерматология и венерология", №3, 2013) продемонстрировали, что после трансплантации в кожу культивированные </w:t>
      </w:r>
      <w:proofErr w:type="spellStart"/>
      <w:r w:rsidRPr="00DD6301">
        <w:rPr>
          <w:rStyle w:val="Subst"/>
          <w:rFonts w:eastAsia="Calibri"/>
          <w:b w:val="0"/>
          <w:bCs/>
          <w:i w:val="0"/>
          <w:iCs/>
          <w:sz w:val="21"/>
          <w:szCs w:val="21"/>
          <w:lang w:eastAsia="en-US" w:bidi="en-US"/>
        </w:rPr>
        <w:t>аутологичные</w:t>
      </w:r>
      <w:proofErr w:type="spellEnd"/>
      <w:r w:rsidRPr="00DD6301">
        <w:rPr>
          <w:rStyle w:val="Subst"/>
          <w:rFonts w:eastAsia="Calibri"/>
          <w:b w:val="0"/>
          <w:bCs/>
          <w:i w:val="0"/>
          <w:iCs/>
          <w:sz w:val="21"/>
          <w:szCs w:val="21"/>
          <w:lang w:eastAsia="en-US" w:bidi="en-US"/>
        </w:rPr>
        <w:t xml:space="preserve"> </w:t>
      </w:r>
      <w:proofErr w:type="spellStart"/>
      <w:r w:rsidRPr="00DD6301">
        <w:rPr>
          <w:rStyle w:val="Subst"/>
          <w:rFonts w:eastAsia="Calibri"/>
          <w:b w:val="0"/>
          <w:bCs/>
          <w:i w:val="0"/>
          <w:iCs/>
          <w:sz w:val="21"/>
          <w:szCs w:val="21"/>
          <w:lang w:eastAsia="en-US" w:bidi="en-US"/>
        </w:rPr>
        <w:t>дермальные</w:t>
      </w:r>
      <w:proofErr w:type="spellEnd"/>
      <w:r w:rsidRPr="00DD6301">
        <w:rPr>
          <w:rStyle w:val="Subst"/>
          <w:rFonts w:eastAsia="Calibri"/>
          <w:b w:val="0"/>
          <w:bCs/>
          <w:i w:val="0"/>
          <w:iCs/>
          <w:sz w:val="21"/>
          <w:szCs w:val="21"/>
          <w:lang w:eastAsia="en-US" w:bidi="en-US"/>
        </w:rPr>
        <w:t xml:space="preserve"> фибробласты полноценно интегрируются в дерму и их  биосинтетическая активность сохраняется в течение как минимум 12 месяцев: клинический эффект, таким образом, носит нарастающий до 12 месяцев характер и длится не менее 2-х лет.</w:t>
      </w:r>
      <w:r w:rsidRPr="00DD6301">
        <w:rPr>
          <w:rStyle w:val="Subst"/>
          <w:rFonts w:eastAsia="Calibri"/>
          <w:sz w:val="21"/>
          <w:szCs w:val="21"/>
          <w:lang w:eastAsia="en-US" w:bidi="en-US"/>
        </w:rPr>
        <w:t xml:space="preserve"> </w:t>
      </w:r>
      <w:proofErr w:type="gramEnd"/>
    </w:p>
    <w:p w:rsidR="008F799F" w:rsidRPr="00DD6301" w:rsidRDefault="008F799F" w:rsidP="008F799F">
      <w:pPr>
        <w:pStyle w:val="af"/>
        <w:spacing w:before="120"/>
        <w:ind w:left="284" w:right="-628"/>
        <w:jc w:val="both"/>
        <w:rPr>
          <w:rStyle w:val="Subst"/>
          <w:rFonts w:ascii="Times New Roman" w:eastAsiaTheme="minorEastAsia" w:hAnsi="Times New Roman"/>
          <w:b w:val="0"/>
          <w:sz w:val="21"/>
          <w:szCs w:val="21"/>
          <w:lang w:val="ru-RU" w:eastAsia="ru-RU" w:bidi="ar-SA"/>
        </w:rPr>
      </w:pPr>
      <w:r w:rsidRPr="00DD6301">
        <w:rPr>
          <w:rStyle w:val="Subst"/>
          <w:rFonts w:ascii="Times New Roman" w:eastAsiaTheme="minorEastAsia" w:hAnsi="Times New Roman"/>
          <w:b w:val="0"/>
          <w:sz w:val="21"/>
          <w:szCs w:val="21"/>
          <w:lang w:val="ru-RU" w:eastAsia="ru-RU" w:bidi="ar-SA"/>
        </w:rPr>
        <w:t>В сентябре 2012 г. от ООО «</w:t>
      </w:r>
      <w:proofErr w:type="spellStart"/>
      <w:r w:rsidRPr="00DD6301">
        <w:rPr>
          <w:rStyle w:val="Subst"/>
          <w:rFonts w:ascii="Times New Roman" w:eastAsiaTheme="minorEastAsia" w:hAnsi="Times New Roman"/>
          <w:b w:val="0"/>
          <w:sz w:val="21"/>
          <w:szCs w:val="21"/>
          <w:lang w:val="ru-RU" w:eastAsia="ru-RU" w:bidi="ar-SA"/>
        </w:rPr>
        <w:t>Витацел</w:t>
      </w:r>
      <w:proofErr w:type="spellEnd"/>
      <w:r w:rsidRPr="00DD6301">
        <w:rPr>
          <w:rStyle w:val="Subst"/>
          <w:rFonts w:ascii="Times New Roman" w:eastAsiaTheme="minorEastAsia" w:hAnsi="Times New Roman"/>
          <w:b w:val="0"/>
          <w:sz w:val="21"/>
          <w:szCs w:val="21"/>
          <w:lang w:val="ru-RU" w:eastAsia="ru-RU" w:bidi="ar-SA"/>
        </w:rPr>
        <w:t xml:space="preserve">» (100-% дочерней компании ОАО «ИСКЧ») была подана международная патентная заявка </w:t>
      </w:r>
      <w:r w:rsidR="004D70F8" w:rsidRPr="00DD6301">
        <w:rPr>
          <w:rStyle w:val="Subst"/>
          <w:rFonts w:ascii="Times New Roman" w:eastAsiaTheme="minorEastAsia" w:hAnsi="Times New Roman"/>
          <w:b w:val="0"/>
          <w:sz w:val="21"/>
          <w:szCs w:val="21"/>
          <w:lang w:val="ru-RU" w:eastAsia="ru-RU" w:bidi="ar-SA"/>
        </w:rPr>
        <w:t>(</w:t>
      </w:r>
      <w:r w:rsidR="004D70F8" w:rsidRPr="00DD6301">
        <w:rPr>
          <w:rStyle w:val="Subst"/>
          <w:rFonts w:ascii="Times New Roman" w:eastAsiaTheme="minorEastAsia" w:hAnsi="Times New Roman"/>
          <w:b w:val="0"/>
          <w:sz w:val="21"/>
          <w:szCs w:val="21"/>
          <w:lang w:eastAsia="ru-RU" w:bidi="ar-SA"/>
        </w:rPr>
        <w:t>PCT</w:t>
      </w:r>
      <w:r w:rsidR="004D70F8" w:rsidRPr="00DD6301">
        <w:rPr>
          <w:rStyle w:val="Subst"/>
          <w:rFonts w:ascii="Times New Roman" w:eastAsiaTheme="minorEastAsia" w:hAnsi="Times New Roman"/>
          <w:b w:val="0"/>
          <w:sz w:val="21"/>
          <w:szCs w:val="21"/>
          <w:lang w:val="ru-RU" w:eastAsia="ru-RU" w:bidi="ar-SA"/>
        </w:rPr>
        <w:t xml:space="preserve">) </w:t>
      </w:r>
      <w:r w:rsidR="000C7A10" w:rsidRPr="00DD6301">
        <w:rPr>
          <w:rStyle w:val="Subst"/>
          <w:rFonts w:ascii="Times New Roman" w:eastAsiaTheme="minorEastAsia" w:hAnsi="Times New Roman"/>
          <w:b w:val="0"/>
          <w:sz w:val="21"/>
          <w:szCs w:val="21"/>
          <w:lang w:val="ru-RU" w:eastAsia="ru-RU" w:bidi="ar-SA"/>
        </w:rPr>
        <w:t>«Метод</w:t>
      </w:r>
      <w:r w:rsidRPr="00DD6301">
        <w:rPr>
          <w:rStyle w:val="Subst"/>
          <w:rFonts w:ascii="Times New Roman" w:eastAsiaTheme="minorEastAsia" w:hAnsi="Times New Roman"/>
          <w:b w:val="0"/>
          <w:sz w:val="21"/>
          <w:szCs w:val="21"/>
          <w:lang w:val="ru-RU" w:eastAsia="ru-RU" w:bidi="ar-SA"/>
        </w:rPr>
        <w:t xml:space="preserve"> диагностики соединительной ткани и его применение», что необходимо для получения глобальной патентной защиты технологии </w:t>
      </w:r>
      <w:r w:rsidRPr="00DD6301">
        <w:rPr>
          <w:rStyle w:val="Subst"/>
          <w:rFonts w:ascii="Times New Roman" w:eastAsiaTheme="minorEastAsia" w:hAnsi="Times New Roman"/>
          <w:b w:val="0"/>
          <w:sz w:val="21"/>
          <w:szCs w:val="21"/>
          <w:lang w:eastAsia="ru-RU" w:bidi="ar-SA"/>
        </w:rPr>
        <w:t>SPRS</w:t>
      </w:r>
      <w:r w:rsidRPr="00DD6301">
        <w:rPr>
          <w:rStyle w:val="Subst"/>
          <w:rFonts w:ascii="Times New Roman" w:eastAsiaTheme="minorEastAsia" w:hAnsi="Times New Roman"/>
          <w:b w:val="0"/>
          <w:sz w:val="21"/>
          <w:szCs w:val="21"/>
          <w:lang w:val="ru-RU" w:eastAsia="ru-RU" w:bidi="ar-SA"/>
        </w:rPr>
        <w:t>-терапия, и, в частности, персонализированной диагностики кожи (Паспорт кожи</w:t>
      </w:r>
      <w:r w:rsidRPr="00DD6301">
        <w:rPr>
          <w:rStyle w:val="Subst"/>
          <w:rFonts w:ascii="Times New Roman" w:eastAsiaTheme="minorEastAsia" w:hAnsi="Times New Roman"/>
          <w:b w:val="0"/>
          <w:sz w:val="21"/>
          <w:szCs w:val="21"/>
          <w:vertAlign w:val="superscript"/>
          <w:lang w:val="ru-RU" w:eastAsia="ru-RU" w:bidi="ar-SA"/>
        </w:rPr>
        <w:t>®</w:t>
      </w:r>
      <w:r w:rsidRPr="00DD6301">
        <w:rPr>
          <w:rStyle w:val="Subst"/>
          <w:rFonts w:ascii="Times New Roman" w:eastAsiaTheme="minorEastAsia" w:hAnsi="Times New Roman"/>
          <w:b w:val="0"/>
          <w:sz w:val="21"/>
          <w:szCs w:val="21"/>
          <w:lang w:val="ru-RU" w:eastAsia="ru-RU" w:bidi="ar-SA"/>
        </w:rPr>
        <w:t xml:space="preserve">). Опубликована заявка 11 апреля 2013 г., что дает временную правовую охрану в странах, допускающих подачу патентных заявок на английском языке. В июле 2013 г. </w:t>
      </w:r>
      <w:r w:rsidR="000C7A10" w:rsidRPr="00DD6301">
        <w:rPr>
          <w:rStyle w:val="Subst"/>
          <w:rFonts w:ascii="Times New Roman" w:eastAsiaTheme="minorEastAsia" w:hAnsi="Times New Roman"/>
          <w:b w:val="0"/>
          <w:sz w:val="21"/>
          <w:szCs w:val="21"/>
          <w:lang w:val="ru-RU" w:eastAsia="ru-RU" w:bidi="ar-SA"/>
        </w:rPr>
        <w:t xml:space="preserve">данная </w:t>
      </w:r>
      <w:r w:rsidRPr="00DD6301">
        <w:rPr>
          <w:rStyle w:val="Subst"/>
          <w:rFonts w:ascii="Times New Roman" w:eastAsiaTheme="minorEastAsia" w:hAnsi="Times New Roman"/>
          <w:b w:val="0"/>
          <w:sz w:val="21"/>
          <w:szCs w:val="21"/>
          <w:lang w:val="ru-RU" w:eastAsia="ru-RU" w:bidi="ar-SA"/>
        </w:rPr>
        <w:t xml:space="preserve">международная патентная заявка переведена на национальные/региональные </w:t>
      </w:r>
      <w:r w:rsidR="004D70F8" w:rsidRPr="00DD6301">
        <w:rPr>
          <w:rStyle w:val="Subst"/>
          <w:rFonts w:ascii="Times New Roman" w:eastAsiaTheme="minorEastAsia" w:hAnsi="Times New Roman"/>
          <w:b w:val="0"/>
          <w:sz w:val="21"/>
          <w:szCs w:val="21"/>
          <w:lang w:val="ru-RU" w:eastAsia="ru-RU" w:bidi="ar-SA"/>
        </w:rPr>
        <w:t>фазы в США, Украину, страны СНГ (поданы заявки на национальные патенты в США и Украине, а также на региональный патент в Евразийское патентное ведомство).</w:t>
      </w:r>
    </w:p>
    <w:p w:rsidR="00F77303" w:rsidRDefault="00F77303" w:rsidP="008F799F">
      <w:pPr>
        <w:spacing w:before="120"/>
        <w:ind w:right="-629"/>
        <w:jc w:val="both"/>
        <w:rPr>
          <w:b/>
          <w:sz w:val="22"/>
          <w:szCs w:val="22"/>
        </w:rPr>
      </w:pPr>
    </w:p>
    <w:p w:rsidR="008F799F" w:rsidRDefault="008F799F" w:rsidP="008F799F">
      <w:pPr>
        <w:spacing w:before="120"/>
        <w:ind w:right="-629"/>
        <w:jc w:val="both"/>
        <w:rPr>
          <w:i/>
          <w:sz w:val="22"/>
          <w:szCs w:val="22"/>
        </w:rPr>
      </w:pPr>
      <w:r>
        <w:rPr>
          <w:b/>
          <w:sz w:val="22"/>
          <w:szCs w:val="22"/>
        </w:rPr>
        <w:t>Услуги генетической диагностики и консультирования в МГЦ «</w:t>
      </w:r>
      <w:proofErr w:type="spellStart"/>
      <w:r>
        <w:rPr>
          <w:b/>
          <w:sz w:val="22"/>
          <w:szCs w:val="22"/>
          <w:lang w:val="en-US"/>
        </w:rPr>
        <w:t>Genetico</w:t>
      </w:r>
      <w:proofErr w:type="spellEnd"/>
      <w:r>
        <w:rPr>
          <w:b/>
          <w:sz w:val="22"/>
          <w:szCs w:val="22"/>
        </w:rPr>
        <w:t xml:space="preserve">» - </w:t>
      </w:r>
      <w:r w:rsidRPr="007B7E68">
        <w:rPr>
          <w:i/>
          <w:sz w:val="22"/>
          <w:szCs w:val="22"/>
        </w:rPr>
        <w:t>социально-значим</w:t>
      </w:r>
      <w:r>
        <w:rPr>
          <w:i/>
          <w:sz w:val="22"/>
          <w:szCs w:val="22"/>
        </w:rPr>
        <w:t>ый</w:t>
      </w:r>
      <w:r>
        <w:rPr>
          <w:sz w:val="22"/>
          <w:szCs w:val="22"/>
        </w:rPr>
        <w:t xml:space="preserve"> </w:t>
      </w:r>
      <w:r w:rsidRPr="002729F5">
        <w:rPr>
          <w:i/>
          <w:sz w:val="22"/>
          <w:szCs w:val="22"/>
        </w:rPr>
        <w:t xml:space="preserve">проект </w:t>
      </w:r>
      <w:r>
        <w:rPr>
          <w:i/>
          <w:sz w:val="22"/>
          <w:szCs w:val="22"/>
        </w:rPr>
        <w:t xml:space="preserve">ИСКЧ по широкому внедрению в РФ медико-генетического консультирования с целью раннего выявления и профилактики заболеваний с наследственным компонентом. </w:t>
      </w:r>
    </w:p>
    <w:p w:rsidR="009F299F" w:rsidRPr="00DD6301" w:rsidRDefault="009F299F" w:rsidP="008F799F">
      <w:pPr>
        <w:spacing w:before="240"/>
        <w:ind w:right="-629"/>
        <w:jc w:val="both"/>
        <w:rPr>
          <w:iCs/>
          <w:sz w:val="22"/>
          <w:szCs w:val="22"/>
        </w:rPr>
      </w:pPr>
      <w:r>
        <w:rPr>
          <w:sz w:val="22"/>
          <w:szCs w:val="22"/>
        </w:rPr>
        <w:t>Выручка</w:t>
      </w:r>
      <w:r w:rsidR="008F799F" w:rsidRPr="0094721A">
        <w:rPr>
          <w:sz w:val="22"/>
          <w:szCs w:val="22"/>
        </w:rPr>
        <w:t xml:space="preserve"> </w:t>
      </w:r>
      <w:r>
        <w:rPr>
          <w:sz w:val="22"/>
          <w:szCs w:val="22"/>
        </w:rPr>
        <w:t xml:space="preserve">от </w:t>
      </w:r>
      <w:r w:rsidR="008F799F" w:rsidRPr="0094721A">
        <w:rPr>
          <w:sz w:val="22"/>
          <w:szCs w:val="22"/>
        </w:rPr>
        <w:t>услуг</w:t>
      </w:r>
      <w:r>
        <w:rPr>
          <w:sz w:val="22"/>
          <w:szCs w:val="22"/>
        </w:rPr>
        <w:t xml:space="preserve"> генетической диагностики и консультирования, составившая в 1 полугодии </w:t>
      </w:r>
      <w:r>
        <w:rPr>
          <w:sz w:val="22"/>
          <w:szCs w:val="22"/>
        </w:rPr>
        <w:br/>
        <w:t>2013 г. 1,854 млн. рублей (0,9% от консолидированной выручки), включает доходы от услуги</w:t>
      </w:r>
      <w:r w:rsidR="008F799F" w:rsidRPr="0094721A">
        <w:rPr>
          <w:sz w:val="22"/>
          <w:szCs w:val="22"/>
        </w:rPr>
        <w:t xml:space="preserve"> «</w:t>
      </w:r>
      <w:proofErr w:type="spellStart"/>
      <w:r w:rsidR="008F799F" w:rsidRPr="0094721A">
        <w:rPr>
          <w:sz w:val="22"/>
          <w:szCs w:val="22"/>
        </w:rPr>
        <w:t>Гемаскрин</w:t>
      </w:r>
      <w:proofErr w:type="spellEnd"/>
      <w:r w:rsidR="008F799F" w:rsidRPr="0094721A">
        <w:rPr>
          <w:sz w:val="22"/>
          <w:szCs w:val="22"/>
        </w:rPr>
        <w:t xml:space="preserve">» для новорожденных, </w:t>
      </w:r>
      <w:r>
        <w:rPr>
          <w:sz w:val="22"/>
          <w:szCs w:val="22"/>
        </w:rPr>
        <w:t>а также первые поступления от услуги «</w:t>
      </w:r>
      <w:proofErr w:type="spellStart"/>
      <w:r>
        <w:rPr>
          <w:sz w:val="22"/>
          <w:szCs w:val="22"/>
        </w:rPr>
        <w:t>Этноген</w:t>
      </w:r>
      <w:proofErr w:type="spellEnd"/>
      <w:r>
        <w:rPr>
          <w:sz w:val="22"/>
          <w:szCs w:val="22"/>
        </w:rPr>
        <w:t xml:space="preserve">» и консультаций по </w:t>
      </w:r>
      <w:r>
        <w:rPr>
          <w:iCs/>
          <w:sz w:val="22"/>
          <w:szCs w:val="22"/>
          <w:lang w:val="en-US"/>
        </w:rPr>
        <w:t>PGD</w:t>
      </w:r>
      <w:r w:rsidRPr="0094721A">
        <w:rPr>
          <w:iCs/>
          <w:sz w:val="22"/>
          <w:szCs w:val="22"/>
        </w:rPr>
        <w:t xml:space="preserve"> (</w:t>
      </w:r>
      <w:proofErr w:type="spellStart"/>
      <w:r>
        <w:rPr>
          <w:iCs/>
          <w:sz w:val="22"/>
          <w:szCs w:val="22"/>
        </w:rPr>
        <w:t>преимплантационной</w:t>
      </w:r>
      <w:proofErr w:type="spellEnd"/>
      <w:r>
        <w:rPr>
          <w:iCs/>
          <w:sz w:val="22"/>
          <w:szCs w:val="22"/>
        </w:rPr>
        <w:t xml:space="preserve"> генетической диагностике)</w:t>
      </w:r>
      <w:r w:rsidRPr="009F299F">
        <w:rPr>
          <w:iCs/>
          <w:sz w:val="22"/>
          <w:szCs w:val="22"/>
        </w:rPr>
        <w:t xml:space="preserve">. </w:t>
      </w:r>
      <w:r>
        <w:rPr>
          <w:iCs/>
          <w:sz w:val="22"/>
          <w:szCs w:val="22"/>
        </w:rPr>
        <w:t xml:space="preserve">Предоставление данных услуг осуществляет ООО «ЦГРМ ИСКЧ» (Центр Генетики и Регенеративной Медицины Института Стволовых Клеток Человека) – 100%-я дочерняя компания ОАО «ИСКЧ», специально учрежденная в октябре 2012 г. </w:t>
      </w:r>
      <w:r w:rsidRPr="00DD6301">
        <w:rPr>
          <w:iCs/>
          <w:sz w:val="22"/>
          <w:szCs w:val="22"/>
        </w:rPr>
        <w:t>для реализации деятельности по оказанию медицинских услуг (в целях использования льгот по налогообложению).</w:t>
      </w:r>
    </w:p>
    <w:p w:rsidR="008F799F" w:rsidRPr="00DD6301" w:rsidRDefault="008F799F" w:rsidP="008F799F">
      <w:pPr>
        <w:spacing w:before="120"/>
        <w:ind w:left="284" w:right="-629"/>
        <w:jc w:val="both"/>
        <w:rPr>
          <w:sz w:val="21"/>
          <w:szCs w:val="21"/>
        </w:rPr>
      </w:pPr>
      <w:r w:rsidRPr="00DD6301">
        <w:rPr>
          <w:sz w:val="21"/>
          <w:szCs w:val="21"/>
        </w:rPr>
        <w:t>Разработка проекта создания собственной общероссийской сети медико-генетических центров нового образца для предоставления услуг генетической диагностики и консультирования личным врачом-генетиком началась в 2011 г.</w:t>
      </w:r>
    </w:p>
    <w:p w:rsidR="007724FC" w:rsidRDefault="007724FC" w:rsidP="008F799F">
      <w:pPr>
        <w:spacing w:before="120"/>
        <w:ind w:left="284" w:right="-629"/>
        <w:jc w:val="both"/>
        <w:rPr>
          <w:rStyle w:val="Subst"/>
          <w:b w:val="0"/>
          <w:bCs/>
          <w:i w:val="0"/>
          <w:iCs/>
          <w:sz w:val="21"/>
          <w:szCs w:val="21"/>
        </w:rPr>
      </w:pPr>
    </w:p>
    <w:p w:rsidR="003164F7" w:rsidRPr="003164F7" w:rsidRDefault="003164F7" w:rsidP="003164F7">
      <w:pPr>
        <w:suppressAutoHyphens w:val="0"/>
        <w:ind w:left="284" w:right="-682"/>
        <w:jc w:val="both"/>
        <w:rPr>
          <w:sz w:val="21"/>
          <w:szCs w:val="21"/>
        </w:rPr>
      </w:pPr>
      <w:r w:rsidRPr="003164F7">
        <w:rPr>
          <w:sz w:val="21"/>
          <w:szCs w:val="21"/>
        </w:rPr>
        <w:t xml:space="preserve">Основная </w:t>
      </w:r>
      <w:r>
        <w:rPr>
          <w:sz w:val="21"/>
          <w:szCs w:val="21"/>
        </w:rPr>
        <w:t>задача</w:t>
      </w:r>
      <w:r w:rsidRPr="003164F7">
        <w:rPr>
          <w:sz w:val="21"/>
          <w:szCs w:val="21"/>
        </w:rPr>
        <w:t xml:space="preserve"> проекта – выявление, прогнозирование рисков наследственных заболеваний у клинически здоровых людей и их детей для профилактики предупреждения заболеваемости. Этот проект на</w:t>
      </w:r>
      <w:r>
        <w:rPr>
          <w:sz w:val="21"/>
          <w:szCs w:val="21"/>
        </w:rPr>
        <w:t>правлен</w:t>
      </w:r>
      <w:r w:rsidRPr="003164F7">
        <w:rPr>
          <w:sz w:val="21"/>
          <w:szCs w:val="21"/>
        </w:rPr>
        <w:t xml:space="preserve"> на формирование у потребителей новой культуры отношения к своему здоровью и здоровью будущих поколений. Услуги генетической диагностики и консультирования нацелены на реализацию профилактического подхода, когда любой человек сможет своевременно узнать о своих генетических особенностях и осуществить необходимые меры для поддержания собственного здоровья, здоровья детей, а также предупреждения рождения в семье потомства с тяжелой наследственной патологией.</w:t>
      </w:r>
    </w:p>
    <w:p w:rsidR="008F799F" w:rsidRPr="00DD6301" w:rsidRDefault="008F799F" w:rsidP="008F799F">
      <w:pPr>
        <w:spacing w:before="120"/>
        <w:ind w:left="284" w:right="-629"/>
        <w:jc w:val="both"/>
        <w:rPr>
          <w:sz w:val="21"/>
          <w:szCs w:val="21"/>
        </w:rPr>
      </w:pPr>
      <w:r w:rsidRPr="00DD6301">
        <w:rPr>
          <w:sz w:val="21"/>
          <w:szCs w:val="21"/>
        </w:rPr>
        <w:t xml:space="preserve">В январе 2012 г. Компания приступила к реализации первого тестового этапа проекта, осуществив общероссийский запуск </w:t>
      </w:r>
      <w:r w:rsidRPr="00DD6301">
        <w:rPr>
          <w:i/>
          <w:sz w:val="21"/>
          <w:szCs w:val="21"/>
        </w:rPr>
        <w:t>программы «</w:t>
      </w:r>
      <w:proofErr w:type="spellStart"/>
      <w:r w:rsidRPr="00DD6301">
        <w:rPr>
          <w:i/>
          <w:sz w:val="21"/>
          <w:szCs w:val="21"/>
        </w:rPr>
        <w:t>Гемаскрин</w:t>
      </w:r>
      <w:proofErr w:type="spellEnd"/>
      <w:r w:rsidRPr="00DD6301">
        <w:rPr>
          <w:i/>
          <w:sz w:val="21"/>
          <w:szCs w:val="21"/>
        </w:rPr>
        <w:t>» для новорожденных</w:t>
      </w:r>
      <w:r w:rsidRPr="00DD6301">
        <w:rPr>
          <w:sz w:val="21"/>
          <w:szCs w:val="21"/>
        </w:rPr>
        <w:t>. Данная услуга включает ДНК-диагностику и консультирование по 6 самым распространенным на территории РФ наследственным заболеваниям и врожденным генетическим особенностям. ДНК-диагностика может проводиться как по пуповинной крови, так и по периферической. Последующая консультация врача-генетика обеспечивает родителей информацией по профилактике осложнений / предупреждению развития клинических симптомов заболевания (в случае его обнаружения) или по реализации путей планирования будущего здорового потомства ребёнка (в случае выявления статуса носительства поврежденного гена).</w:t>
      </w:r>
    </w:p>
    <w:p w:rsidR="008F799F" w:rsidRPr="00DD6301" w:rsidRDefault="008F799F" w:rsidP="008F799F">
      <w:pPr>
        <w:spacing w:before="120"/>
        <w:ind w:left="284" w:right="-629"/>
        <w:jc w:val="both"/>
        <w:rPr>
          <w:sz w:val="21"/>
          <w:szCs w:val="21"/>
        </w:rPr>
      </w:pPr>
      <w:r w:rsidRPr="00DD6301">
        <w:rPr>
          <w:sz w:val="21"/>
          <w:szCs w:val="21"/>
        </w:rPr>
        <w:t xml:space="preserve">В 2012 году также велась работа по созданию собственного ДНК-чипа, который позволяет диагностировать значительное количество моногенных наследственных заболеваний и выявлять генетическую предрасположенность к широко распространенным многофакторным заболеваниям (таким, как </w:t>
      </w:r>
      <w:proofErr w:type="spellStart"/>
      <w:r w:rsidRPr="00DD6301">
        <w:rPr>
          <w:sz w:val="21"/>
          <w:szCs w:val="21"/>
        </w:rPr>
        <w:t>тромбофилия</w:t>
      </w:r>
      <w:proofErr w:type="spellEnd"/>
      <w:r w:rsidRPr="00DD6301">
        <w:rPr>
          <w:sz w:val="21"/>
          <w:szCs w:val="21"/>
        </w:rPr>
        <w:t>, ишемический инсульт, остеопороз и др.). Одной из основных идей создания данного чипа была его практическая направленность – отражение специфики спектра наследственных заболеваний, характерных для народов, проживающих на территории РФ и СНГ.</w:t>
      </w:r>
    </w:p>
    <w:p w:rsidR="008F799F" w:rsidRPr="00DD6301" w:rsidRDefault="008F799F" w:rsidP="008F799F">
      <w:pPr>
        <w:spacing w:before="120"/>
        <w:ind w:left="284" w:right="-629"/>
        <w:jc w:val="both"/>
        <w:rPr>
          <w:sz w:val="21"/>
          <w:szCs w:val="21"/>
        </w:rPr>
      </w:pPr>
      <w:r w:rsidRPr="00DD6301">
        <w:rPr>
          <w:sz w:val="21"/>
          <w:szCs w:val="21"/>
        </w:rPr>
        <w:t xml:space="preserve">В феврале 2013 г. </w:t>
      </w:r>
      <w:proofErr w:type="gramStart"/>
      <w:r w:rsidRPr="00DD6301">
        <w:rPr>
          <w:sz w:val="21"/>
          <w:szCs w:val="21"/>
        </w:rPr>
        <w:t>была</w:t>
      </w:r>
      <w:proofErr w:type="gramEnd"/>
      <w:r w:rsidRPr="00DD6301">
        <w:rPr>
          <w:sz w:val="21"/>
          <w:szCs w:val="21"/>
        </w:rPr>
        <w:t xml:space="preserve"> завершилась техническая </w:t>
      </w:r>
      <w:proofErr w:type="spellStart"/>
      <w:r w:rsidRPr="00DD6301">
        <w:rPr>
          <w:sz w:val="21"/>
          <w:szCs w:val="21"/>
        </w:rPr>
        <w:t>валидация</w:t>
      </w:r>
      <w:proofErr w:type="spellEnd"/>
      <w:r w:rsidRPr="00DD6301">
        <w:rPr>
          <w:sz w:val="21"/>
          <w:szCs w:val="21"/>
        </w:rPr>
        <w:t xml:space="preserve"> чипа, а в апреле – его клиническая </w:t>
      </w:r>
      <w:proofErr w:type="spellStart"/>
      <w:r w:rsidRPr="00DD6301">
        <w:rPr>
          <w:sz w:val="21"/>
          <w:szCs w:val="21"/>
        </w:rPr>
        <w:t>валидация</w:t>
      </w:r>
      <w:proofErr w:type="spellEnd"/>
      <w:r w:rsidRPr="00DD6301">
        <w:rPr>
          <w:sz w:val="21"/>
          <w:szCs w:val="21"/>
        </w:rPr>
        <w:t xml:space="preserve">. С помощью ДНК-чипа ИСКЧ можно диагностировать более 60 моногенных наследственных заболеваний и предрасположенность </w:t>
      </w:r>
      <w:proofErr w:type="gramStart"/>
      <w:r w:rsidRPr="00DD6301">
        <w:rPr>
          <w:sz w:val="21"/>
          <w:szCs w:val="21"/>
        </w:rPr>
        <w:t>к</w:t>
      </w:r>
      <w:proofErr w:type="gramEnd"/>
      <w:r w:rsidRPr="00DD6301">
        <w:rPr>
          <w:sz w:val="21"/>
          <w:szCs w:val="21"/>
        </w:rPr>
        <w:t xml:space="preserve"> </w:t>
      </w:r>
      <w:proofErr w:type="gramStart"/>
      <w:r w:rsidRPr="00DD6301">
        <w:rPr>
          <w:sz w:val="21"/>
          <w:szCs w:val="21"/>
        </w:rPr>
        <w:t>порядка</w:t>
      </w:r>
      <w:proofErr w:type="gramEnd"/>
      <w:r w:rsidRPr="00DD6301">
        <w:rPr>
          <w:sz w:val="21"/>
          <w:szCs w:val="21"/>
        </w:rPr>
        <w:t xml:space="preserve"> 10 широко распространенным многофакторным заболеваниям с генетической составляющей. </w:t>
      </w:r>
    </w:p>
    <w:p w:rsidR="008F799F" w:rsidRPr="00DD6301" w:rsidRDefault="008F799F" w:rsidP="008F799F">
      <w:pPr>
        <w:spacing w:before="120"/>
        <w:ind w:left="284" w:right="-629"/>
        <w:jc w:val="both"/>
        <w:rPr>
          <w:sz w:val="21"/>
          <w:szCs w:val="21"/>
        </w:rPr>
      </w:pPr>
      <w:r w:rsidRPr="00DD6301">
        <w:rPr>
          <w:sz w:val="21"/>
          <w:szCs w:val="21"/>
        </w:rPr>
        <w:t xml:space="preserve">На базе использования ДНК-чипа во второй половине апреля 2013 г. ИСКЧ начал предоставление </w:t>
      </w:r>
      <w:r w:rsidRPr="00DD6301">
        <w:rPr>
          <w:i/>
          <w:sz w:val="21"/>
          <w:szCs w:val="21"/>
        </w:rPr>
        <w:t>услуги медико-генетического консультирования «</w:t>
      </w:r>
      <w:proofErr w:type="spellStart"/>
      <w:r w:rsidRPr="00DD6301">
        <w:rPr>
          <w:i/>
          <w:sz w:val="21"/>
          <w:szCs w:val="21"/>
        </w:rPr>
        <w:t>Этноген</w:t>
      </w:r>
      <w:proofErr w:type="spellEnd"/>
      <w:r w:rsidRPr="00DD6301">
        <w:rPr>
          <w:i/>
          <w:sz w:val="21"/>
          <w:szCs w:val="21"/>
        </w:rPr>
        <w:t>» для широкого круга потребителей</w:t>
      </w:r>
      <w:r w:rsidRPr="00DD6301">
        <w:rPr>
          <w:sz w:val="21"/>
          <w:szCs w:val="21"/>
        </w:rPr>
        <w:t xml:space="preserve">: для детей и взрослых (определение генетических особенностей и генетического груза с целью прогнозирования и оценки рисков), </w:t>
      </w:r>
      <w:proofErr w:type="gramStart"/>
      <w:r w:rsidRPr="00DD6301">
        <w:rPr>
          <w:sz w:val="21"/>
          <w:szCs w:val="21"/>
        </w:rPr>
        <w:t>для</w:t>
      </w:r>
      <w:proofErr w:type="gramEnd"/>
      <w:r w:rsidRPr="00DD6301">
        <w:rPr>
          <w:sz w:val="21"/>
          <w:szCs w:val="21"/>
        </w:rPr>
        <w:t xml:space="preserve"> планирующих беременность (</w:t>
      </w:r>
      <w:proofErr w:type="spellStart"/>
      <w:r w:rsidRPr="00DD6301">
        <w:rPr>
          <w:sz w:val="21"/>
          <w:szCs w:val="21"/>
        </w:rPr>
        <w:t>преконцепционный</w:t>
      </w:r>
      <w:proofErr w:type="spellEnd"/>
      <w:r w:rsidRPr="00DD6301">
        <w:rPr>
          <w:sz w:val="21"/>
          <w:szCs w:val="21"/>
        </w:rPr>
        <w:t xml:space="preserve"> скрининг).</w:t>
      </w:r>
    </w:p>
    <w:p w:rsidR="008F799F" w:rsidRPr="00DD6301" w:rsidRDefault="008F799F" w:rsidP="008F799F">
      <w:pPr>
        <w:spacing w:before="120"/>
        <w:ind w:left="284" w:right="-629"/>
        <w:jc w:val="both"/>
        <w:rPr>
          <w:sz w:val="21"/>
          <w:szCs w:val="21"/>
        </w:rPr>
      </w:pPr>
      <w:r w:rsidRPr="00DD6301">
        <w:rPr>
          <w:sz w:val="21"/>
          <w:szCs w:val="21"/>
        </w:rPr>
        <w:t xml:space="preserve">Предоставление всего спектра услуг генетической диагностики и консультирования личным врачом-генетиком, включая услугу </w:t>
      </w:r>
      <w:r w:rsidRPr="00DD6301">
        <w:rPr>
          <w:sz w:val="21"/>
          <w:szCs w:val="21"/>
          <w:lang w:val="en-US"/>
        </w:rPr>
        <w:t>PGD</w:t>
      </w:r>
      <w:r w:rsidRPr="00DD6301">
        <w:rPr>
          <w:sz w:val="21"/>
          <w:szCs w:val="21"/>
        </w:rPr>
        <w:t xml:space="preserve"> (</w:t>
      </w:r>
      <w:proofErr w:type="spellStart"/>
      <w:r w:rsidRPr="00DD6301">
        <w:rPr>
          <w:sz w:val="21"/>
          <w:szCs w:val="21"/>
        </w:rPr>
        <w:t>преимплантационная</w:t>
      </w:r>
      <w:proofErr w:type="spellEnd"/>
      <w:r w:rsidRPr="00DD6301">
        <w:rPr>
          <w:sz w:val="21"/>
          <w:szCs w:val="21"/>
        </w:rPr>
        <w:t xml:space="preserve"> генетическая диагностика), осуществляется посредством запуска общероссийской </w:t>
      </w:r>
      <w:r w:rsidRPr="00DD6301">
        <w:rPr>
          <w:i/>
          <w:sz w:val="21"/>
          <w:szCs w:val="21"/>
        </w:rPr>
        <w:t xml:space="preserve">сети медико-генетических центров </w:t>
      </w:r>
      <w:r w:rsidRPr="00DD6301">
        <w:rPr>
          <w:i/>
          <w:sz w:val="21"/>
          <w:szCs w:val="21"/>
          <w:lang w:val="en-US"/>
        </w:rPr>
        <w:t>GENETICO</w:t>
      </w:r>
      <w:r w:rsidRPr="00DD6301">
        <w:rPr>
          <w:sz w:val="21"/>
          <w:szCs w:val="21"/>
        </w:rPr>
        <w:t xml:space="preserve">. В соответствии с принятым бизнес-планом, в течение 5 лет планируется открыть МГЦ </w:t>
      </w:r>
      <w:r w:rsidRPr="00DD6301">
        <w:rPr>
          <w:sz w:val="21"/>
          <w:szCs w:val="21"/>
          <w:lang w:val="en-US"/>
        </w:rPr>
        <w:t>GENETICO</w:t>
      </w:r>
      <w:r w:rsidRPr="00DD6301">
        <w:rPr>
          <w:i/>
          <w:sz w:val="21"/>
          <w:szCs w:val="21"/>
        </w:rPr>
        <w:t xml:space="preserve"> </w:t>
      </w:r>
      <w:r w:rsidRPr="00DD6301">
        <w:rPr>
          <w:sz w:val="21"/>
          <w:szCs w:val="21"/>
        </w:rPr>
        <w:t>в 19 крупнейших городах РФ. До конца 2013 г. медико-генетические центры ИСКЧ должны присутствовать в 6 городах РФ.</w:t>
      </w:r>
    </w:p>
    <w:p w:rsidR="008F799F" w:rsidRPr="00DD6301" w:rsidRDefault="008F799F" w:rsidP="008F799F">
      <w:pPr>
        <w:spacing w:before="120"/>
        <w:ind w:left="284" w:right="-629"/>
        <w:jc w:val="both"/>
        <w:rPr>
          <w:sz w:val="21"/>
          <w:szCs w:val="21"/>
        </w:rPr>
      </w:pPr>
      <w:r w:rsidRPr="00DD6301">
        <w:rPr>
          <w:sz w:val="21"/>
          <w:szCs w:val="21"/>
        </w:rPr>
        <w:t>В планах до конца 2013 г. – реализация пилотной программы продвижения услуги «</w:t>
      </w:r>
      <w:proofErr w:type="spellStart"/>
      <w:r w:rsidRPr="00DD6301">
        <w:rPr>
          <w:sz w:val="21"/>
          <w:szCs w:val="21"/>
        </w:rPr>
        <w:t>Этноген</w:t>
      </w:r>
      <w:proofErr w:type="spellEnd"/>
      <w:r w:rsidRPr="00DD6301">
        <w:rPr>
          <w:sz w:val="21"/>
          <w:szCs w:val="21"/>
        </w:rPr>
        <w:t xml:space="preserve">» как в медицинском сообществе, так и среди потенциальных клиентов. </w:t>
      </w:r>
      <w:proofErr w:type="gramStart"/>
      <w:r w:rsidRPr="00DD6301">
        <w:rPr>
          <w:sz w:val="21"/>
          <w:szCs w:val="21"/>
        </w:rPr>
        <w:t xml:space="preserve">Полный спектр услуг в области </w:t>
      </w:r>
      <w:r w:rsidRPr="00DD6301">
        <w:rPr>
          <w:sz w:val="21"/>
          <w:szCs w:val="21"/>
          <w:lang w:val="en-US"/>
        </w:rPr>
        <w:t>PGD</w:t>
      </w:r>
      <w:r w:rsidRPr="00DD6301">
        <w:rPr>
          <w:sz w:val="21"/>
          <w:szCs w:val="21"/>
        </w:rPr>
        <w:t xml:space="preserve"> – </w:t>
      </w:r>
      <w:proofErr w:type="spellStart"/>
      <w:r w:rsidRPr="00DD6301">
        <w:rPr>
          <w:sz w:val="21"/>
          <w:szCs w:val="21"/>
        </w:rPr>
        <w:t>преимплатнационной</w:t>
      </w:r>
      <w:proofErr w:type="spellEnd"/>
      <w:r w:rsidRPr="00DD6301">
        <w:rPr>
          <w:sz w:val="21"/>
          <w:szCs w:val="21"/>
        </w:rPr>
        <w:t xml:space="preserve"> генетической диагностике </w:t>
      </w:r>
      <w:r w:rsidRPr="00DD6301">
        <w:rPr>
          <w:bCs/>
          <w:sz w:val="21"/>
          <w:szCs w:val="21"/>
        </w:rPr>
        <w:t xml:space="preserve">эмбриона на моногенные наследственные заболевания и хромосомные аномалии – Компания </w:t>
      </w:r>
      <w:proofErr w:type="spellStart"/>
      <w:r w:rsidRPr="00DD6301">
        <w:rPr>
          <w:bCs/>
          <w:sz w:val="21"/>
          <w:szCs w:val="21"/>
        </w:rPr>
        <w:t>нач</w:t>
      </w:r>
      <w:r w:rsidR="00DD6301">
        <w:rPr>
          <w:bCs/>
          <w:sz w:val="21"/>
          <w:szCs w:val="21"/>
        </w:rPr>
        <w:t>игает</w:t>
      </w:r>
      <w:proofErr w:type="spellEnd"/>
      <w:r w:rsidRPr="00DD6301">
        <w:rPr>
          <w:bCs/>
          <w:sz w:val="21"/>
          <w:szCs w:val="21"/>
        </w:rPr>
        <w:t xml:space="preserve"> оказывать в 3 квартале текущего года по заключении договоров с клиниками ЭКО и завершении процесса лицензирования ЛПК и обновления медицинской лицензии ЦГРМ ИСКЧ в связи с выходом приказа МЗ РФ с новым перечнем видов медицинской деятельности, которому теперь необходимо соответствовать.</w:t>
      </w:r>
      <w:proofErr w:type="gramEnd"/>
      <w:r w:rsidRPr="00DD6301">
        <w:rPr>
          <w:bCs/>
          <w:sz w:val="21"/>
          <w:szCs w:val="21"/>
        </w:rPr>
        <w:t xml:space="preserve"> В настоящий момент у клиентов есть возможность получить консультацию для планирования проведения </w:t>
      </w:r>
      <w:proofErr w:type="spellStart"/>
      <w:r w:rsidRPr="00DD6301">
        <w:rPr>
          <w:bCs/>
          <w:sz w:val="21"/>
          <w:szCs w:val="21"/>
        </w:rPr>
        <w:t>преимплантационной</w:t>
      </w:r>
      <w:proofErr w:type="spellEnd"/>
      <w:r w:rsidRPr="00DD6301">
        <w:rPr>
          <w:bCs/>
          <w:sz w:val="21"/>
          <w:szCs w:val="21"/>
        </w:rPr>
        <w:t xml:space="preserve"> генетической диагностики. </w:t>
      </w:r>
    </w:p>
    <w:p w:rsidR="008F799F" w:rsidRDefault="008F799F" w:rsidP="008B495B">
      <w:pPr>
        <w:spacing w:before="120"/>
        <w:ind w:left="567" w:right="-629"/>
        <w:jc w:val="both"/>
        <w:rPr>
          <w:sz w:val="21"/>
          <w:szCs w:val="21"/>
        </w:rPr>
      </w:pPr>
    </w:p>
    <w:p w:rsidR="00BA3224" w:rsidRPr="00194DBA" w:rsidRDefault="00BA3224" w:rsidP="001A6AE4">
      <w:pPr>
        <w:spacing w:before="240"/>
        <w:ind w:right="-629"/>
        <w:jc w:val="both"/>
        <w:rPr>
          <w:b/>
          <w:sz w:val="23"/>
          <w:szCs w:val="23"/>
          <w:u w:val="single"/>
        </w:rPr>
      </w:pPr>
      <w:r w:rsidRPr="00194DBA">
        <w:rPr>
          <w:b/>
          <w:sz w:val="23"/>
          <w:szCs w:val="23"/>
          <w:u w:val="single"/>
        </w:rPr>
        <w:t xml:space="preserve">Операционные расходы, </w:t>
      </w:r>
      <w:r w:rsidRPr="00194DBA">
        <w:rPr>
          <w:b/>
          <w:sz w:val="23"/>
          <w:szCs w:val="23"/>
          <w:u w:val="single"/>
          <w:lang w:val="en-US"/>
        </w:rPr>
        <w:t>OIBDA</w:t>
      </w:r>
      <w:r w:rsidRPr="00194DBA">
        <w:rPr>
          <w:b/>
          <w:sz w:val="23"/>
          <w:szCs w:val="23"/>
          <w:u w:val="single"/>
        </w:rPr>
        <w:t xml:space="preserve">, </w:t>
      </w:r>
      <w:r w:rsidR="00194DBA" w:rsidRPr="00194DBA">
        <w:rPr>
          <w:b/>
          <w:sz w:val="23"/>
          <w:szCs w:val="23"/>
          <w:u w:val="single"/>
        </w:rPr>
        <w:t>операционная прибыль</w:t>
      </w:r>
    </w:p>
    <w:p w:rsidR="00A80B80" w:rsidRDefault="00A80B80" w:rsidP="0040562A">
      <w:pPr>
        <w:spacing w:before="120"/>
        <w:ind w:right="-629"/>
        <w:jc w:val="both"/>
        <w:rPr>
          <w:sz w:val="22"/>
          <w:szCs w:val="22"/>
        </w:rPr>
      </w:pPr>
      <w:r>
        <w:rPr>
          <w:sz w:val="22"/>
          <w:szCs w:val="22"/>
        </w:rPr>
        <w:t xml:space="preserve">Консолидированные операционные расходы составили в </w:t>
      </w:r>
      <w:r w:rsidR="004253BE">
        <w:rPr>
          <w:sz w:val="22"/>
          <w:szCs w:val="22"/>
        </w:rPr>
        <w:t xml:space="preserve">1 полугодии 2013 г. </w:t>
      </w:r>
      <w:r w:rsidR="00DD6301">
        <w:rPr>
          <w:sz w:val="22"/>
          <w:szCs w:val="22"/>
        </w:rPr>
        <w:t>173,336</w:t>
      </w:r>
      <w:r>
        <w:rPr>
          <w:sz w:val="22"/>
          <w:szCs w:val="22"/>
        </w:rPr>
        <w:t xml:space="preserve"> млн. рублей</w:t>
      </w:r>
      <w:r w:rsidR="00F57AB0">
        <w:rPr>
          <w:sz w:val="22"/>
          <w:szCs w:val="22"/>
        </w:rPr>
        <w:t>, из которых 42,8% приходится на фонд оплаты труда (заработная плата, прочие выплаты и социальные отчисления).</w:t>
      </w:r>
      <w:r w:rsidR="00DD6301">
        <w:rPr>
          <w:sz w:val="22"/>
          <w:szCs w:val="22"/>
        </w:rPr>
        <w:t xml:space="preserve"> </w:t>
      </w:r>
    </w:p>
    <w:p w:rsidR="00DE068C" w:rsidRDefault="00DE068C" w:rsidP="00F57AB0">
      <w:pPr>
        <w:spacing w:before="120"/>
        <w:ind w:right="-629"/>
        <w:jc w:val="both"/>
        <w:rPr>
          <w:sz w:val="22"/>
          <w:szCs w:val="22"/>
        </w:rPr>
      </w:pPr>
    </w:p>
    <w:p w:rsidR="00DE068C" w:rsidRDefault="00DE068C" w:rsidP="00F57AB0">
      <w:pPr>
        <w:spacing w:before="120"/>
        <w:ind w:right="-629"/>
        <w:jc w:val="both"/>
        <w:rPr>
          <w:sz w:val="22"/>
          <w:szCs w:val="22"/>
        </w:rPr>
      </w:pPr>
    </w:p>
    <w:p w:rsidR="00F57AB0" w:rsidRPr="00F57AB0" w:rsidRDefault="00F57AB0" w:rsidP="00F57AB0">
      <w:pPr>
        <w:spacing w:before="120"/>
        <w:ind w:right="-629"/>
        <w:jc w:val="both"/>
        <w:rPr>
          <w:sz w:val="22"/>
          <w:szCs w:val="22"/>
        </w:rPr>
      </w:pPr>
      <w:r>
        <w:rPr>
          <w:sz w:val="22"/>
          <w:szCs w:val="22"/>
        </w:rPr>
        <w:t xml:space="preserve">Операционные расходы до амортизации составили 162,624 млн. рублей, в результате чего показатель </w:t>
      </w:r>
      <w:r>
        <w:rPr>
          <w:sz w:val="22"/>
          <w:szCs w:val="22"/>
          <w:lang w:val="en-US"/>
        </w:rPr>
        <w:t>OIBDA</w:t>
      </w:r>
      <w:r w:rsidRPr="00F57AB0">
        <w:rPr>
          <w:sz w:val="22"/>
          <w:szCs w:val="22"/>
        </w:rPr>
        <w:t xml:space="preserve"> </w:t>
      </w:r>
      <w:r>
        <w:rPr>
          <w:sz w:val="22"/>
          <w:szCs w:val="22"/>
        </w:rPr>
        <w:t xml:space="preserve">составил 53,062 млн. рублей, а маржа по </w:t>
      </w:r>
      <w:r>
        <w:rPr>
          <w:sz w:val="22"/>
          <w:szCs w:val="22"/>
          <w:lang w:val="en-US"/>
        </w:rPr>
        <w:t>OIBDA</w:t>
      </w:r>
      <w:r w:rsidRPr="00F57AB0">
        <w:rPr>
          <w:sz w:val="22"/>
          <w:szCs w:val="22"/>
        </w:rPr>
        <w:t xml:space="preserve"> –</w:t>
      </w:r>
      <w:r>
        <w:rPr>
          <w:sz w:val="22"/>
          <w:szCs w:val="22"/>
        </w:rPr>
        <w:t xml:space="preserve"> 24,6%.</w:t>
      </w:r>
    </w:p>
    <w:p w:rsidR="00F57AB0" w:rsidRDefault="00F57AB0" w:rsidP="0040562A">
      <w:pPr>
        <w:spacing w:before="120"/>
        <w:ind w:right="-629"/>
        <w:jc w:val="both"/>
        <w:rPr>
          <w:sz w:val="22"/>
          <w:szCs w:val="22"/>
        </w:rPr>
      </w:pPr>
      <w:r>
        <w:rPr>
          <w:sz w:val="22"/>
          <w:szCs w:val="22"/>
        </w:rPr>
        <w:t xml:space="preserve">Операционная прибыль за отчетный период составила 42,350 млн. рублей, маржа </w:t>
      </w:r>
      <w:proofErr w:type="gramStart"/>
      <w:r>
        <w:rPr>
          <w:sz w:val="22"/>
          <w:szCs w:val="22"/>
        </w:rPr>
        <w:t>по операционной</w:t>
      </w:r>
      <w:proofErr w:type="gramEnd"/>
      <w:r>
        <w:rPr>
          <w:sz w:val="22"/>
          <w:szCs w:val="22"/>
        </w:rPr>
        <w:t xml:space="preserve"> прибыли – 19,6%.</w:t>
      </w:r>
    </w:p>
    <w:p w:rsidR="00F57AB0" w:rsidRDefault="00F57AB0" w:rsidP="0040562A">
      <w:pPr>
        <w:spacing w:before="120"/>
        <w:ind w:right="-629"/>
        <w:jc w:val="both"/>
        <w:rPr>
          <w:sz w:val="22"/>
          <w:szCs w:val="22"/>
        </w:rPr>
      </w:pPr>
    </w:p>
    <w:p w:rsidR="00194DBA" w:rsidRDefault="00194DBA" w:rsidP="00194DBA">
      <w:pPr>
        <w:ind w:right="-629"/>
        <w:jc w:val="both"/>
        <w:rPr>
          <w:b/>
          <w:sz w:val="23"/>
          <w:szCs w:val="23"/>
          <w:u w:val="single"/>
        </w:rPr>
      </w:pPr>
      <w:r>
        <w:rPr>
          <w:b/>
          <w:sz w:val="23"/>
          <w:szCs w:val="23"/>
          <w:u w:val="single"/>
        </w:rPr>
        <w:t>Прочие прибыли и убытки, прибыль до налогообложения</w:t>
      </w:r>
    </w:p>
    <w:p w:rsidR="00C92A7A" w:rsidRDefault="00C92A7A" w:rsidP="001A6AE4">
      <w:pPr>
        <w:spacing w:before="120"/>
        <w:ind w:right="-680"/>
        <w:jc w:val="both"/>
        <w:rPr>
          <w:sz w:val="22"/>
          <w:szCs w:val="22"/>
        </w:rPr>
      </w:pPr>
      <w:r w:rsidRPr="00323988">
        <w:rPr>
          <w:sz w:val="22"/>
          <w:szCs w:val="22"/>
        </w:rPr>
        <w:t xml:space="preserve">В консолидированной отчетности за </w:t>
      </w:r>
      <w:r w:rsidR="00F57AB0">
        <w:rPr>
          <w:sz w:val="22"/>
          <w:szCs w:val="22"/>
        </w:rPr>
        <w:t xml:space="preserve">1 полугодие 2013 г. </w:t>
      </w:r>
      <w:r w:rsidRPr="00323988">
        <w:rPr>
          <w:sz w:val="22"/>
          <w:szCs w:val="22"/>
        </w:rPr>
        <w:t>признан</w:t>
      </w:r>
      <w:r w:rsidR="00F57AB0">
        <w:rPr>
          <w:sz w:val="22"/>
          <w:szCs w:val="22"/>
        </w:rPr>
        <w:t>а</w:t>
      </w:r>
      <w:r w:rsidRPr="00323988">
        <w:rPr>
          <w:sz w:val="22"/>
          <w:szCs w:val="22"/>
        </w:rPr>
        <w:t xml:space="preserve"> </w:t>
      </w:r>
      <w:r w:rsidR="00F57AB0">
        <w:rPr>
          <w:sz w:val="22"/>
          <w:szCs w:val="22"/>
        </w:rPr>
        <w:t>прибыль</w:t>
      </w:r>
      <w:r w:rsidRPr="00323988">
        <w:rPr>
          <w:sz w:val="22"/>
          <w:szCs w:val="22"/>
        </w:rPr>
        <w:t xml:space="preserve"> от участия в ассоц</w:t>
      </w:r>
      <w:r>
        <w:rPr>
          <w:sz w:val="22"/>
          <w:szCs w:val="22"/>
        </w:rPr>
        <w:t xml:space="preserve">иированных компаниях в размере </w:t>
      </w:r>
      <w:r w:rsidR="00F57AB0">
        <w:rPr>
          <w:sz w:val="22"/>
          <w:szCs w:val="22"/>
        </w:rPr>
        <w:t>7,861 млн. рублей, а также продемонстрированы финансовые доходы (нетто) в размере 0,611 млн. рублей.</w:t>
      </w:r>
    </w:p>
    <w:p w:rsidR="00F57AB0" w:rsidRDefault="00F57AB0" w:rsidP="001A6AE4">
      <w:pPr>
        <w:spacing w:before="120"/>
        <w:ind w:right="-680"/>
        <w:jc w:val="both"/>
        <w:rPr>
          <w:sz w:val="22"/>
          <w:szCs w:val="22"/>
        </w:rPr>
      </w:pPr>
      <w:proofErr w:type="gramStart"/>
      <w:r>
        <w:rPr>
          <w:sz w:val="22"/>
          <w:szCs w:val="22"/>
        </w:rPr>
        <w:t xml:space="preserve">На величину </w:t>
      </w:r>
      <w:r w:rsidR="007F58F2">
        <w:rPr>
          <w:sz w:val="22"/>
          <w:szCs w:val="22"/>
        </w:rPr>
        <w:t xml:space="preserve">финансовых доходов, в основном, оказали влияние чистые процентные расходы в размере </w:t>
      </w:r>
      <w:r w:rsidR="00C1071A">
        <w:rPr>
          <w:sz w:val="22"/>
          <w:szCs w:val="22"/>
        </w:rPr>
        <w:br/>
      </w:r>
      <w:r w:rsidR="007F58F2">
        <w:rPr>
          <w:sz w:val="22"/>
          <w:szCs w:val="22"/>
        </w:rPr>
        <w:t xml:space="preserve">7,929 млн. рублей в связи с использованием долгосрочных и краткосрочных заемных средств на развитие – с одной стороны, а также </w:t>
      </w:r>
      <w:r w:rsidR="00D96610">
        <w:rPr>
          <w:sz w:val="22"/>
          <w:szCs w:val="22"/>
        </w:rPr>
        <w:t xml:space="preserve">чистые </w:t>
      </w:r>
      <w:r w:rsidR="007F58F2">
        <w:rPr>
          <w:sz w:val="22"/>
          <w:szCs w:val="22"/>
        </w:rPr>
        <w:t>доходы от дисконтирования долгосрочной кредиторской задолженности в размере 9,726</w:t>
      </w:r>
      <w:r w:rsidR="00D96610">
        <w:rPr>
          <w:sz w:val="22"/>
          <w:szCs w:val="22"/>
        </w:rPr>
        <w:t xml:space="preserve"> млн. рублей – с другой</w:t>
      </w:r>
      <w:r w:rsidR="007F58F2">
        <w:rPr>
          <w:sz w:val="22"/>
          <w:szCs w:val="22"/>
        </w:rPr>
        <w:t xml:space="preserve"> стороны </w:t>
      </w:r>
      <w:r w:rsidR="00D96610">
        <w:rPr>
          <w:sz w:val="22"/>
          <w:szCs w:val="22"/>
        </w:rPr>
        <w:t xml:space="preserve">(в связи с особенностями оказания услуги </w:t>
      </w:r>
      <w:proofErr w:type="spellStart"/>
      <w:r w:rsidR="00D96610">
        <w:rPr>
          <w:sz w:val="22"/>
          <w:szCs w:val="22"/>
        </w:rPr>
        <w:t>банкирования</w:t>
      </w:r>
      <w:proofErr w:type="spellEnd"/>
      <w:r w:rsidR="00D96610">
        <w:rPr>
          <w:sz w:val="22"/>
          <w:szCs w:val="22"/>
        </w:rPr>
        <w:t xml:space="preserve"> биоматериалов: долгосрочную кредиторскую задолженность составляют а</w:t>
      </w:r>
      <w:r w:rsidR="00C1071A">
        <w:rPr>
          <w:sz w:val="22"/>
          <w:szCs w:val="22"/>
        </w:rPr>
        <w:t>вансы</w:t>
      </w:r>
      <w:proofErr w:type="gramEnd"/>
      <w:r w:rsidR="00C1071A">
        <w:rPr>
          <w:sz w:val="22"/>
          <w:szCs w:val="22"/>
        </w:rPr>
        <w:t>, полученные по заключенным</w:t>
      </w:r>
      <w:r w:rsidR="00D96610">
        <w:rPr>
          <w:sz w:val="22"/>
          <w:szCs w:val="22"/>
        </w:rPr>
        <w:t xml:space="preserve"> договорам на </w:t>
      </w:r>
      <w:proofErr w:type="gramStart"/>
      <w:r w:rsidR="00D96610">
        <w:rPr>
          <w:sz w:val="22"/>
          <w:szCs w:val="22"/>
        </w:rPr>
        <w:t>длительное</w:t>
      </w:r>
      <w:proofErr w:type="gramEnd"/>
      <w:r w:rsidR="00D96610">
        <w:rPr>
          <w:sz w:val="22"/>
          <w:szCs w:val="22"/>
        </w:rPr>
        <w:t xml:space="preserve"> </w:t>
      </w:r>
      <w:proofErr w:type="spellStart"/>
      <w:r w:rsidR="00D96610">
        <w:rPr>
          <w:sz w:val="22"/>
          <w:szCs w:val="22"/>
        </w:rPr>
        <w:t>криохранение</w:t>
      </w:r>
      <w:proofErr w:type="spellEnd"/>
      <w:r w:rsidR="00D96610">
        <w:rPr>
          <w:sz w:val="22"/>
          <w:szCs w:val="22"/>
        </w:rPr>
        <w:t xml:space="preserve"> персональных образцов СК ПК, а также собственных фибробластов кожи).</w:t>
      </w:r>
    </w:p>
    <w:p w:rsidR="00C92A7A" w:rsidRPr="00323988" w:rsidRDefault="00C1071A" w:rsidP="00D56518">
      <w:pPr>
        <w:spacing w:before="120"/>
        <w:ind w:right="-682"/>
        <w:jc w:val="both"/>
        <w:rPr>
          <w:sz w:val="22"/>
          <w:szCs w:val="22"/>
        </w:rPr>
      </w:pPr>
      <w:r>
        <w:rPr>
          <w:sz w:val="22"/>
          <w:szCs w:val="22"/>
        </w:rPr>
        <w:t xml:space="preserve">Таким образом, прибыль до </w:t>
      </w:r>
      <w:r w:rsidR="00D56518">
        <w:rPr>
          <w:sz w:val="22"/>
          <w:szCs w:val="22"/>
        </w:rPr>
        <w:t xml:space="preserve">налогообложения </w:t>
      </w:r>
      <w:r>
        <w:rPr>
          <w:sz w:val="22"/>
          <w:szCs w:val="22"/>
        </w:rPr>
        <w:t xml:space="preserve">за отчетный период </w:t>
      </w:r>
      <w:r w:rsidR="00D56518">
        <w:rPr>
          <w:sz w:val="22"/>
          <w:szCs w:val="22"/>
        </w:rPr>
        <w:t>составил</w:t>
      </w:r>
      <w:r>
        <w:rPr>
          <w:sz w:val="22"/>
          <w:szCs w:val="22"/>
        </w:rPr>
        <w:t>а</w:t>
      </w:r>
      <w:r w:rsidR="00C92A7A" w:rsidRPr="00323988">
        <w:rPr>
          <w:sz w:val="22"/>
          <w:szCs w:val="22"/>
        </w:rPr>
        <w:t xml:space="preserve"> </w:t>
      </w:r>
      <w:r>
        <w:rPr>
          <w:sz w:val="22"/>
          <w:szCs w:val="22"/>
        </w:rPr>
        <w:t>50,822 млн. рублей.</w:t>
      </w:r>
    </w:p>
    <w:p w:rsidR="00C92A7A" w:rsidRDefault="00C92A7A" w:rsidP="00D56518">
      <w:pPr>
        <w:spacing w:before="120"/>
        <w:ind w:right="-540"/>
        <w:jc w:val="both"/>
        <w:rPr>
          <w:sz w:val="22"/>
          <w:szCs w:val="22"/>
        </w:rPr>
      </w:pPr>
    </w:p>
    <w:p w:rsidR="009C4699" w:rsidRDefault="00194DBA" w:rsidP="009C4699">
      <w:pPr>
        <w:ind w:right="-682"/>
        <w:jc w:val="both"/>
        <w:rPr>
          <w:sz w:val="22"/>
          <w:szCs w:val="22"/>
        </w:rPr>
      </w:pPr>
      <w:r>
        <w:rPr>
          <w:b/>
          <w:sz w:val="23"/>
          <w:szCs w:val="23"/>
          <w:u w:val="single"/>
        </w:rPr>
        <w:t xml:space="preserve">Прибыль за </w:t>
      </w:r>
      <w:r w:rsidR="00DD6301">
        <w:rPr>
          <w:b/>
          <w:sz w:val="23"/>
          <w:szCs w:val="23"/>
          <w:u w:val="single"/>
        </w:rPr>
        <w:t>период</w:t>
      </w:r>
      <w:r>
        <w:rPr>
          <w:b/>
          <w:sz w:val="23"/>
          <w:szCs w:val="23"/>
          <w:u w:val="single"/>
        </w:rPr>
        <w:t xml:space="preserve"> (чистая прибыль)</w:t>
      </w:r>
    </w:p>
    <w:p w:rsidR="009C4699" w:rsidRPr="00323988" w:rsidRDefault="00DD6301" w:rsidP="009C4699">
      <w:pPr>
        <w:spacing w:before="120"/>
        <w:ind w:right="-682"/>
        <w:jc w:val="both"/>
        <w:rPr>
          <w:sz w:val="22"/>
          <w:szCs w:val="22"/>
        </w:rPr>
      </w:pPr>
      <w:r>
        <w:rPr>
          <w:sz w:val="22"/>
          <w:szCs w:val="22"/>
        </w:rPr>
        <w:t>Консолидированная прибыль за период (чистая прибыль) составила по итогам 1 полугодия 2013 г. 44,192 млн. рублей.</w:t>
      </w:r>
      <w:r w:rsidR="000A2531">
        <w:rPr>
          <w:sz w:val="22"/>
          <w:szCs w:val="22"/>
        </w:rPr>
        <w:t xml:space="preserve"> Маржа по чистой прибыли составила 20,5%.</w:t>
      </w:r>
    </w:p>
    <w:p w:rsidR="00194DBA" w:rsidRDefault="00194DBA" w:rsidP="006C507B">
      <w:pPr>
        <w:ind w:right="-682"/>
        <w:jc w:val="both"/>
        <w:rPr>
          <w:b/>
          <w:sz w:val="23"/>
          <w:szCs w:val="23"/>
          <w:u w:val="single"/>
        </w:rPr>
      </w:pPr>
    </w:p>
    <w:p w:rsidR="00CE1BBA" w:rsidRDefault="00CE1BBA" w:rsidP="00CE1BBA">
      <w:pPr>
        <w:ind w:right="-682"/>
        <w:jc w:val="both"/>
        <w:rPr>
          <w:i/>
          <w:sz w:val="22"/>
          <w:szCs w:val="22"/>
        </w:rPr>
      </w:pPr>
    </w:p>
    <w:p w:rsidR="006C507B" w:rsidRDefault="006C507B" w:rsidP="00CE1BBA">
      <w:pPr>
        <w:ind w:right="-682"/>
        <w:jc w:val="both"/>
        <w:rPr>
          <w:i/>
          <w:sz w:val="22"/>
          <w:szCs w:val="22"/>
        </w:rPr>
      </w:pPr>
    </w:p>
    <w:p w:rsidR="00CE1BBA" w:rsidRPr="009D5A79" w:rsidRDefault="00CE1BBA" w:rsidP="00CE1BBA">
      <w:pPr>
        <w:ind w:right="-682"/>
        <w:jc w:val="both"/>
        <w:rPr>
          <w:i/>
          <w:sz w:val="22"/>
          <w:szCs w:val="22"/>
        </w:rPr>
      </w:pPr>
      <w:r w:rsidRPr="00323988">
        <w:rPr>
          <w:i/>
          <w:sz w:val="22"/>
          <w:szCs w:val="22"/>
        </w:rPr>
        <w:t xml:space="preserve">С </w:t>
      </w:r>
      <w:proofErr w:type="spellStart"/>
      <w:r w:rsidR="00A1758E">
        <w:rPr>
          <w:i/>
          <w:sz w:val="22"/>
          <w:szCs w:val="22"/>
        </w:rPr>
        <w:t>неаудированной</w:t>
      </w:r>
      <w:proofErr w:type="spellEnd"/>
      <w:r w:rsidR="00A1758E">
        <w:rPr>
          <w:i/>
          <w:sz w:val="22"/>
          <w:szCs w:val="22"/>
        </w:rPr>
        <w:t xml:space="preserve"> </w:t>
      </w:r>
      <w:r>
        <w:rPr>
          <w:i/>
          <w:sz w:val="22"/>
          <w:szCs w:val="22"/>
        </w:rPr>
        <w:t>кон</w:t>
      </w:r>
      <w:r w:rsidRPr="00323988">
        <w:rPr>
          <w:i/>
          <w:sz w:val="22"/>
          <w:szCs w:val="22"/>
        </w:rPr>
        <w:t xml:space="preserve">солидированной </w:t>
      </w:r>
      <w:r w:rsidR="00A1758E">
        <w:rPr>
          <w:i/>
          <w:sz w:val="22"/>
          <w:szCs w:val="22"/>
        </w:rPr>
        <w:t xml:space="preserve">промежуточной сокращенной </w:t>
      </w:r>
      <w:r w:rsidRPr="00323988">
        <w:rPr>
          <w:i/>
          <w:sz w:val="22"/>
          <w:szCs w:val="22"/>
        </w:rPr>
        <w:t xml:space="preserve">финансовой </w:t>
      </w:r>
      <w:r>
        <w:rPr>
          <w:i/>
          <w:sz w:val="22"/>
          <w:szCs w:val="22"/>
        </w:rPr>
        <w:t xml:space="preserve">отчетностью ИСКЧ за </w:t>
      </w:r>
      <w:r w:rsidR="00456355">
        <w:rPr>
          <w:i/>
          <w:sz w:val="22"/>
          <w:szCs w:val="22"/>
        </w:rPr>
        <w:br/>
        <w:t>1</w:t>
      </w:r>
      <w:r w:rsidR="00BC043F">
        <w:rPr>
          <w:i/>
          <w:sz w:val="22"/>
          <w:szCs w:val="22"/>
        </w:rPr>
        <w:t xml:space="preserve"> полугодие </w:t>
      </w:r>
      <w:r>
        <w:rPr>
          <w:i/>
          <w:sz w:val="22"/>
          <w:szCs w:val="22"/>
        </w:rPr>
        <w:t>201</w:t>
      </w:r>
      <w:r w:rsidR="00BC043F">
        <w:rPr>
          <w:i/>
          <w:sz w:val="22"/>
          <w:szCs w:val="22"/>
        </w:rPr>
        <w:t>3</w:t>
      </w:r>
      <w:r w:rsidRPr="00323988">
        <w:rPr>
          <w:i/>
          <w:sz w:val="22"/>
          <w:szCs w:val="22"/>
        </w:rPr>
        <w:t xml:space="preserve"> год</w:t>
      </w:r>
      <w:r w:rsidR="00BC043F">
        <w:rPr>
          <w:i/>
          <w:sz w:val="22"/>
          <w:szCs w:val="22"/>
        </w:rPr>
        <w:t>а</w:t>
      </w:r>
      <w:r w:rsidRPr="00323988">
        <w:rPr>
          <w:i/>
          <w:sz w:val="22"/>
          <w:szCs w:val="22"/>
        </w:rPr>
        <w:t xml:space="preserve"> </w:t>
      </w:r>
      <w:r w:rsidR="00AD6964">
        <w:rPr>
          <w:i/>
          <w:sz w:val="22"/>
          <w:szCs w:val="22"/>
        </w:rPr>
        <w:t xml:space="preserve">по МСФО </w:t>
      </w:r>
      <w:r w:rsidRPr="00323988">
        <w:rPr>
          <w:i/>
          <w:sz w:val="22"/>
          <w:szCs w:val="22"/>
        </w:rPr>
        <w:t xml:space="preserve">можно ознакомиться на корпоративном веб-сайте Компании в разделе «Инвесторам» (Финансовая отчетность </w:t>
      </w:r>
      <w:r w:rsidRPr="00C0255A">
        <w:rPr>
          <w:i/>
          <w:sz w:val="18"/>
          <w:szCs w:val="18"/>
        </w:rPr>
        <w:sym w:font="Wingdings" w:char="F0E0"/>
      </w:r>
      <w:r w:rsidRPr="00323988">
        <w:rPr>
          <w:i/>
          <w:sz w:val="22"/>
          <w:szCs w:val="22"/>
        </w:rPr>
        <w:t xml:space="preserve"> Отчеты по МСФО):</w:t>
      </w:r>
      <w:r w:rsidRPr="009D5A79">
        <w:rPr>
          <w:i/>
          <w:sz w:val="22"/>
          <w:szCs w:val="22"/>
        </w:rPr>
        <w:t xml:space="preserve"> </w:t>
      </w:r>
      <w:hyperlink r:id="rId10" w:history="1">
        <w:r w:rsidRPr="00125722">
          <w:rPr>
            <w:rStyle w:val="aa"/>
            <w:i/>
            <w:sz w:val="22"/>
            <w:szCs w:val="22"/>
          </w:rPr>
          <w:t>http://www.hsci.ru/investoram-i-aktsioneram/financial_reporting/otchety_msfo</w:t>
        </w:r>
      </w:hyperlink>
    </w:p>
    <w:p w:rsidR="00CE1BBA" w:rsidRDefault="00CE1BBA" w:rsidP="005D0241">
      <w:pPr>
        <w:ind w:right="-628"/>
        <w:jc w:val="both"/>
        <w:rPr>
          <w:i/>
          <w:sz w:val="22"/>
          <w:szCs w:val="22"/>
        </w:rPr>
      </w:pPr>
    </w:p>
    <w:p w:rsidR="005D0241" w:rsidRPr="00E001E7" w:rsidRDefault="005D0241" w:rsidP="005D0241">
      <w:pPr>
        <w:ind w:right="-628"/>
        <w:jc w:val="both"/>
        <w:rPr>
          <w:i/>
          <w:sz w:val="22"/>
          <w:szCs w:val="22"/>
        </w:rPr>
      </w:pPr>
    </w:p>
    <w:p w:rsidR="001A6AE4" w:rsidRDefault="00002D73" w:rsidP="001A6AE4">
      <w:pPr>
        <w:pStyle w:val="a8"/>
        <w:spacing w:before="60" w:after="0"/>
        <w:ind w:left="0" w:right="-539"/>
        <w:rPr>
          <w:b/>
          <w:color w:val="AC5600"/>
          <w:sz w:val="22"/>
          <w:szCs w:val="22"/>
        </w:rPr>
      </w:pPr>
      <w:r w:rsidRPr="005C1D0C">
        <w:rPr>
          <w:b/>
          <w:color w:val="AC5600"/>
          <w:sz w:val="22"/>
          <w:szCs w:val="22"/>
        </w:rPr>
        <w:t>ПРИЛОЖЕНИЯ:</w:t>
      </w:r>
    </w:p>
    <w:p w:rsidR="00456355" w:rsidRDefault="00456355" w:rsidP="001A6AE4">
      <w:pPr>
        <w:pStyle w:val="a8"/>
        <w:spacing w:before="60" w:after="0"/>
        <w:ind w:left="0" w:right="-539"/>
        <w:rPr>
          <w:b/>
          <w:color w:val="AC5600"/>
          <w:sz w:val="22"/>
          <w:szCs w:val="22"/>
        </w:rPr>
      </w:pPr>
    </w:p>
    <w:p w:rsidR="001A6AE4" w:rsidRDefault="00002D73" w:rsidP="00DE068C">
      <w:pPr>
        <w:pStyle w:val="a8"/>
        <w:numPr>
          <w:ilvl w:val="0"/>
          <w:numId w:val="6"/>
        </w:numPr>
        <w:spacing w:before="60" w:after="0"/>
        <w:ind w:left="284" w:right="-539" w:hanging="284"/>
        <w:jc w:val="both"/>
        <w:rPr>
          <w:sz w:val="22"/>
        </w:rPr>
      </w:pPr>
      <w:r w:rsidRPr="00323988">
        <w:rPr>
          <w:sz w:val="22"/>
        </w:rPr>
        <w:t xml:space="preserve">Сокращенный консолидированный </w:t>
      </w:r>
      <w:r w:rsidR="00A1758E">
        <w:rPr>
          <w:sz w:val="22"/>
        </w:rPr>
        <w:t xml:space="preserve">промежуточный </w:t>
      </w:r>
      <w:r w:rsidRPr="00323988">
        <w:rPr>
          <w:sz w:val="22"/>
        </w:rPr>
        <w:t xml:space="preserve">отчет о совокупном доходе за </w:t>
      </w:r>
      <w:r w:rsidR="0044770B">
        <w:rPr>
          <w:sz w:val="22"/>
        </w:rPr>
        <w:t xml:space="preserve">1 полугодие </w:t>
      </w:r>
      <w:r w:rsidRPr="00323988">
        <w:rPr>
          <w:sz w:val="22"/>
        </w:rPr>
        <w:t>20</w:t>
      </w:r>
      <w:r w:rsidR="0044770B">
        <w:rPr>
          <w:sz w:val="22"/>
        </w:rPr>
        <w:t>13</w:t>
      </w:r>
      <w:r>
        <w:rPr>
          <w:sz w:val="22"/>
        </w:rPr>
        <w:t xml:space="preserve"> год</w:t>
      </w:r>
      <w:r w:rsidR="0044770B">
        <w:rPr>
          <w:sz w:val="22"/>
        </w:rPr>
        <w:t>а</w:t>
      </w:r>
      <w:r w:rsidRPr="00323988">
        <w:rPr>
          <w:sz w:val="22"/>
        </w:rPr>
        <w:t>,</w:t>
      </w:r>
      <w:r w:rsidR="001A6AE4">
        <w:rPr>
          <w:sz w:val="22"/>
        </w:rPr>
        <w:t xml:space="preserve"> </w:t>
      </w:r>
      <w:r w:rsidRPr="00323988">
        <w:rPr>
          <w:sz w:val="22"/>
        </w:rPr>
        <w:t>в тыс. рублей;</w:t>
      </w:r>
      <w:bookmarkStart w:id="2" w:name="OLE_LINK2"/>
      <w:bookmarkStart w:id="3" w:name="OLE_LINK3"/>
    </w:p>
    <w:p w:rsidR="00456355" w:rsidRDefault="00456355" w:rsidP="00DE068C">
      <w:pPr>
        <w:pStyle w:val="a8"/>
        <w:spacing w:before="60" w:after="0"/>
        <w:ind w:left="284" w:right="-539"/>
        <w:jc w:val="both"/>
        <w:rPr>
          <w:sz w:val="22"/>
        </w:rPr>
      </w:pPr>
    </w:p>
    <w:p w:rsidR="00912923" w:rsidRDefault="001A6AE4" w:rsidP="00DE068C">
      <w:pPr>
        <w:pStyle w:val="a8"/>
        <w:numPr>
          <w:ilvl w:val="0"/>
          <w:numId w:val="6"/>
        </w:numPr>
        <w:spacing w:before="60" w:after="0"/>
        <w:ind w:left="284" w:right="-539" w:hanging="284"/>
        <w:jc w:val="both"/>
        <w:rPr>
          <w:sz w:val="22"/>
        </w:rPr>
      </w:pPr>
      <w:r>
        <w:rPr>
          <w:sz w:val="22"/>
        </w:rPr>
        <w:t>С</w:t>
      </w:r>
      <w:r w:rsidR="00002D73" w:rsidRPr="00323988">
        <w:rPr>
          <w:sz w:val="22"/>
        </w:rPr>
        <w:t xml:space="preserve">окращенный консолидированный </w:t>
      </w:r>
      <w:r w:rsidR="00A1758E">
        <w:rPr>
          <w:sz w:val="22"/>
        </w:rPr>
        <w:t xml:space="preserve">промежуточный </w:t>
      </w:r>
      <w:r w:rsidR="00002D73" w:rsidRPr="00323988">
        <w:rPr>
          <w:sz w:val="22"/>
        </w:rPr>
        <w:t xml:space="preserve">отчет о финансовом положении на </w:t>
      </w:r>
      <w:r w:rsidR="00BA5367">
        <w:rPr>
          <w:sz w:val="22"/>
        </w:rPr>
        <w:t xml:space="preserve">30 июня 2013 года и </w:t>
      </w:r>
      <w:r w:rsidR="00002D73" w:rsidRPr="00323988">
        <w:rPr>
          <w:sz w:val="22"/>
        </w:rPr>
        <w:t>31 декабря 20</w:t>
      </w:r>
      <w:r w:rsidR="00BA5367">
        <w:rPr>
          <w:sz w:val="22"/>
        </w:rPr>
        <w:t>12 года</w:t>
      </w:r>
      <w:r w:rsidR="00002D73" w:rsidRPr="00323988">
        <w:rPr>
          <w:sz w:val="22"/>
        </w:rPr>
        <w:t>, в тыс. рублей</w:t>
      </w:r>
      <w:bookmarkEnd w:id="2"/>
      <w:bookmarkEnd w:id="3"/>
      <w:r w:rsidR="00002D73" w:rsidRPr="00323988">
        <w:rPr>
          <w:sz w:val="22"/>
        </w:rPr>
        <w:t>.</w:t>
      </w:r>
    </w:p>
    <w:p w:rsidR="00032C62" w:rsidRPr="00BA5367" w:rsidRDefault="00032C62">
      <w:pPr>
        <w:suppressAutoHyphens w:val="0"/>
        <w:rPr>
          <w:b/>
          <w:sz w:val="22"/>
          <w:szCs w:val="22"/>
        </w:rPr>
      </w:pPr>
      <w:r w:rsidRPr="00BA5367">
        <w:rPr>
          <w:b/>
          <w:sz w:val="22"/>
          <w:szCs w:val="22"/>
        </w:rPr>
        <w:br w:type="page"/>
      </w:r>
    </w:p>
    <w:p w:rsidR="00032C62" w:rsidRPr="00BA5367" w:rsidRDefault="00032C62" w:rsidP="00912923">
      <w:pPr>
        <w:jc w:val="both"/>
        <w:outlineLvl w:val="0"/>
        <w:rPr>
          <w:b/>
          <w:sz w:val="22"/>
          <w:szCs w:val="22"/>
        </w:rPr>
      </w:pPr>
    </w:p>
    <w:p w:rsidR="00912923" w:rsidRPr="00B17773" w:rsidRDefault="00912923" w:rsidP="00912923">
      <w:pPr>
        <w:jc w:val="both"/>
        <w:outlineLvl w:val="0"/>
        <w:rPr>
          <w:sz w:val="22"/>
          <w:szCs w:val="22"/>
        </w:rPr>
      </w:pPr>
      <w:r w:rsidRPr="00B17773">
        <w:rPr>
          <w:b/>
          <w:sz w:val="22"/>
          <w:szCs w:val="22"/>
        </w:rPr>
        <w:t>Приложение I</w:t>
      </w:r>
    </w:p>
    <w:p w:rsidR="00912923" w:rsidRDefault="00912923" w:rsidP="00972CEE">
      <w:pPr>
        <w:spacing w:before="120" w:after="240"/>
        <w:ind w:right="-397"/>
        <w:jc w:val="both"/>
        <w:rPr>
          <w:sz w:val="22"/>
          <w:szCs w:val="22"/>
        </w:rPr>
      </w:pPr>
      <w:r w:rsidRPr="00FC421B">
        <w:rPr>
          <w:sz w:val="22"/>
        </w:rPr>
        <w:t xml:space="preserve">Сокращенный консолидированный отчет о совокупном доходе за </w:t>
      </w:r>
      <w:r w:rsidR="00307365">
        <w:rPr>
          <w:sz w:val="22"/>
        </w:rPr>
        <w:t>1 полугодие 2013 года</w:t>
      </w:r>
      <w:r w:rsidRPr="00FC421B">
        <w:rPr>
          <w:sz w:val="22"/>
        </w:rPr>
        <w:t>,</w:t>
      </w:r>
      <w:r w:rsidR="00307365">
        <w:rPr>
          <w:sz w:val="22"/>
        </w:rPr>
        <w:t xml:space="preserve"> </w:t>
      </w:r>
      <w:r w:rsidRPr="00FC421B">
        <w:rPr>
          <w:sz w:val="22"/>
        </w:rPr>
        <w:t xml:space="preserve">в </w:t>
      </w:r>
      <w:r>
        <w:rPr>
          <w:sz w:val="22"/>
        </w:rPr>
        <w:t>тыс. рублей</w:t>
      </w:r>
      <w:r w:rsidRPr="00B17773">
        <w:rPr>
          <w:sz w:val="22"/>
          <w:szCs w:val="22"/>
        </w:rPr>
        <w:t xml:space="preserve"> </w:t>
      </w:r>
    </w:p>
    <w:tbl>
      <w:tblPr>
        <w:tblW w:w="8789" w:type="dxa"/>
        <w:jc w:val="center"/>
        <w:tblInd w:w="108" w:type="dxa"/>
        <w:tblLook w:val="04A0" w:firstRow="1" w:lastRow="0" w:firstColumn="1" w:lastColumn="0" w:noHBand="0" w:noVBand="1"/>
      </w:tblPr>
      <w:tblGrid>
        <w:gridCol w:w="7313"/>
        <w:gridCol w:w="1476"/>
      </w:tblGrid>
      <w:tr w:rsidR="00972CEE" w:rsidRPr="00972CEE" w:rsidTr="00972CEE">
        <w:trPr>
          <w:trHeight w:val="314"/>
          <w:jc w:val="center"/>
        </w:trPr>
        <w:tc>
          <w:tcPr>
            <w:tcW w:w="7313" w:type="dxa"/>
            <w:tcBorders>
              <w:top w:val="single" w:sz="8" w:space="0" w:color="auto"/>
              <w:left w:val="single" w:sz="4" w:space="0" w:color="auto"/>
              <w:bottom w:val="double" w:sz="6" w:space="0" w:color="auto"/>
              <w:right w:val="nil"/>
            </w:tcBorders>
            <w:shd w:val="clear" w:color="auto" w:fill="auto"/>
            <w:vAlign w:val="bottom"/>
            <w:hideMark/>
          </w:tcPr>
          <w:p w:rsidR="00972CEE" w:rsidRPr="00972CEE" w:rsidRDefault="00972CEE" w:rsidP="00972CEE">
            <w:pPr>
              <w:suppressAutoHyphens w:val="0"/>
              <w:ind w:firstLineChars="100" w:firstLine="181"/>
              <w:rPr>
                <w:rFonts w:ascii="Times New Roman CYR" w:hAnsi="Times New Roman CYR" w:cs="Times New Roman CYR"/>
                <w:b/>
                <w:bCs/>
                <w:sz w:val="18"/>
                <w:szCs w:val="18"/>
                <w:lang w:eastAsia="ru-RU"/>
              </w:rPr>
            </w:pPr>
            <w:r w:rsidRPr="00972CEE">
              <w:rPr>
                <w:rFonts w:ascii="Times New Roman CYR" w:hAnsi="Times New Roman CYR" w:cs="Times New Roman CYR"/>
                <w:b/>
                <w:bCs/>
                <w:sz w:val="18"/>
                <w:szCs w:val="18"/>
                <w:lang w:eastAsia="ru-RU"/>
              </w:rPr>
              <w:t>Тыс. руб.</w:t>
            </w:r>
          </w:p>
        </w:tc>
        <w:tc>
          <w:tcPr>
            <w:tcW w:w="147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72CEE" w:rsidRPr="00972CEE" w:rsidRDefault="00972CEE" w:rsidP="00972CEE">
            <w:pPr>
              <w:suppressAutoHyphens w:val="0"/>
              <w:jc w:val="center"/>
              <w:rPr>
                <w:rFonts w:ascii="Times New Roman CYR" w:hAnsi="Times New Roman CYR" w:cs="Times New Roman CYR"/>
                <w:b/>
                <w:bCs/>
                <w:sz w:val="18"/>
                <w:szCs w:val="18"/>
                <w:lang w:eastAsia="ru-RU"/>
              </w:rPr>
            </w:pPr>
            <w:r w:rsidRPr="00972CEE">
              <w:rPr>
                <w:rFonts w:ascii="Times New Roman CYR" w:hAnsi="Times New Roman CYR" w:cs="Times New Roman CYR"/>
                <w:b/>
                <w:bCs/>
                <w:sz w:val="18"/>
                <w:szCs w:val="18"/>
                <w:lang w:eastAsia="ru-RU"/>
              </w:rPr>
              <w:t>6 мес. 2013 г.</w:t>
            </w:r>
          </w:p>
        </w:tc>
      </w:tr>
      <w:tr w:rsidR="00972CEE" w:rsidRPr="00972CEE" w:rsidTr="00972CEE">
        <w:trPr>
          <w:trHeight w:val="288"/>
          <w:jc w:val="center"/>
        </w:trPr>
        <w:tc>
          <w:tcPr>
            <w:tcW w:w="7313" w:type="dxa"/>
            <w:tcBorders>
              <w:top w:val="nil"/>
              <w:left w:val="single" w:sz="4" w:space="0" w:color="auto"/>
              <w:bottom w:val="nil"/>
              <w:right w:val="nil"/>
            </w:tcBorders>
            <w:shd w:val="clear" w:color="000000" w:fill="C0C0C0"/>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Выручка от основной деятельности</w:t>
            </w:r>
          </w:p>
        </w:tc>
        <w:tc>
          <w:tcPr>
            <w:tcW w:w="1476" w:type="dxa"/>
            <w:tcBorders>
              <w:top w:val="nil"/>
              <w:left w:val="single" w:sz="8" w:space="0" w:color="auto"/>
              <w:bottom w:val="nil"/>
              <w:right w:val="single" w:sz="8" w:space="0" w:color="auto"/>
            </w:tcBorders>
            <w:shd w:val="clear" w:color="000000" w:fill="C0C0C0"/>
            <w:noWrap/>
            <w:vAlign w:val="bottom"/>
            <w:hideMark/>
          </w:tcPr>
          <w:p w:rsidR="00972CEE" w:rsidRPr="00972CEE" w:rsidRDefault="00972CEE" w:rsidP="00972CEE">
            <w:pPr>
              <w:suppressAutoHyphens w:val="0"/>
              <w:jc w:val="center"/>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190 980,0</w:t>
            </w:r>
          </w:p>
        </w:tc>
      </w:tr>
      <w:tr w:rsidR="00972CEE" w:rsidRPr="00972CEE" w:rsidTr="00972CEE">
        <w:trPr>
          <w:trHeight w:val="324"/>
          <w:jc w:val="center"/>
        </w:trPr>
        <w:tc>
          <w:tcPr>
            <w:tcW w:w="7313" w:type="dxa"/>
            <w:tcBorders>
              <w:top w:val="nil"/>
              <w:left w:val="single" w:sz="4" w:space="0" w:color="auto"/>
              <w:bottom w:val="nil"/>
              <w:right w:val="nil"/>
            </w:tcBorders>
            <w:shd w:val="clear" w:color="auto" w:fill="auto"/>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Выделение, </w:t>
            </w:r>
            <w:proofErr w:type="spellStart"/>
            <w:r w:rsidRPr="00972CEE">
              <w:rPr>
                <w:rFonts w:ascii="Times New Roman CYR" w:hAnsi="Times New Roman CYR" w:cs="Times New Roman CYR"/>
                <w:sz w:val="18"/>
                <w:szCs w:val="18"/>
                <w:lang w:eastAsia="ru-RU"/>
              </w:rPr>
              <w:t>криоконсервация</w:t>
            </w:r>
            <w:proofErr w:type="spellEnd"/>
            <w:r w:rsidRPr="00972CEE">
              <w:rPr>
                <w:rFonts w:ascii="Times New Roman CYR" w:hAnsi="Times New Roman CYR" w:cs="Times New Roman CYR"/>
                <w:sz w:val="18"/>
                <w:szCs w:val="18"/>
                <w:lang w:eastAsia="ru-RU"/>
              </w:rPr>
              <w:t xml:space="preserve"> и хранение стволовых клеток пуповинной крови (СК ПК)</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110 066,0</w:t>
            </w:r>
          </w:p>
        </w:tc>
      </w:tr>
      <w:tr w:rsidR="00972CEE" w:rsidRPr="00972CEE" w:rsidTr="00972CEE">
        <w:trPr>
          <w:trHeight w:val="29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SPRS-терапия</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8 448,0</w:t>
            </w:r>
          </w:p>
        </w:tc>
      </w:tr>
      <w:tr w:rsidR="00972CEE" w:rsidRPr="00972CEE" w:rsidTr="00972CEE">
        <w:trPr>
          <w:trHeight w:val="28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w:t>
            </w:r>
            <w:proofErr w:type="spellStart"/>
            <w:r w:rsidRPr="00972CEE">
              <w:rPr>
                <w:rFonts w:ascii="Times New Roman CYR" w:hAnsi="Times New Roman CYR" w:cs="Times New Roman CYR"/>
                <w:sz w:val="18"/>
                <w:szCs w:val="18"/>
                <w:lang w:eastAsia="ru-RU"/>
              </w:rPr>
              <w:t>Неоваскулген</w:t>
            </w:r>
            <w:proofErr w:type="spellEnd"/>
            <w:r w:rsidRPr="00972CEE">
              <w:rPr>
                <w:rFonts w:ascii="Times New Roman CYR" w:hAnsi="Times New Roman CYR" w:cs="Times New Roman CYR"/>
                <w:sz w:val="18"/>
                <w:szCs w:val="18"/>
                <w:lang w:eastAsia="ru-RU"/>
              </w:rPr>
              <w:t xml:space="preserve"> </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70 212,0</w:t>
            </w:r>
          </w:p>
        </w:tc>
      </w:tr>
      <w:tr w:rsidR="00972CEE" w:rsidRPr="00972CEE" w:rsidTr="00972CEE">
        <w:trPr>
          <w:trHeight w:val="287"/>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Генетическая диагностика и консультирование</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1 854,0</w:t>
            </w:r>
          </w:p>
        </w:tc>
      </w:tr>
      <w:tr w:rsidR="00972CEE" w:rsidRPr="00972CEE" w:rsidTr="00972CEE">
        <w:trPr>
          <w:trHeight w:val="276"/>
          <w:jc w:val="center"/>
        </w:trPr>
        <w:tc>
          <w:tcPr>
            <w:tcW w:w="7313" w:type="dxa"/>
            <w:tcBorders>
              <w:top w:val="nil"/>
              <w:left w:val="single" w:sz="4" w:space="0" w:color="auto"/>
              <w:bottom w:val="nil"/>
              <w:right w:val="nil"/>
            </w:tcBorders>
            <w:shd w:val="clear" w:color="000000" w:fill="C0C0C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Прочая выручка</w:t>
            </w:r>
          </w:p>
        </w:tc>
        <w:tc>
          <w:tcPr>
            <w:tcW w:w="1476" w:type="dxa"/>
            <w:tcBorders>
              <w:top w:val="nil"/>
              <w:left w:val="single" w:sz="8" w:space="0" w:color="auto"/>
              <w:bottom w:val="nil"/>
              <w:right w:val="single" w:sz="8" w:space="0" w:color="auto"/>
            </w:tcBorders>
            <w:shd w:val="clear" w:color="000000" w:fill="C0C0C0"/>
            <w:noWrap/>
            <w:vAlign w:val="bottom"/>
            <w:hideMark/>
          </w:tcPr>
          <w:p w:rsidR="00972CEE" w:rsidRPr="00972CEE" w:rsidRDefault="00972CEE" w:rsidP="00972CEE">
            <w:pPr>
              <w:suppressAutoHyphens w:val="0"/>
              <w:jc w:val="center"/>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24 706,0</w:t>
            </w:r>
          </w:p>
        </w:tc>
      </w:tr>
      <w:tr w:rsidR="00972CEE" w:rsidRPr="00972CEE" w:rsidTr="00972CEE">
        <w:trPr>
          <w:trHeight w:val="276"/>
          <w:jc w:val="center"/>
        </w:trPr>
        <w:tc>
          <w:tcPr>
            <w:tcW w:w="7313" w:type="dxa"/>
            <w:tcBorders>
              <w:top w:val="single" w:sz="8" w:space="0" w:color="auto"/>
              <w:left w:val="single" w:sz="4" w:space="0" w:color="auto"/>
              <w:bottom w:val="single" w:sz="8" w:space="0" w:color="auto"/>
              <w:right w:val="nil"/>
            </w:tcBorders>
            <w:shd w:val="clear" w:color="000000" w:fill="00000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Доходы</w:t>
            </w:r>
          </w:p>
        </w:tc>
        <w:tc>
          <w:tcPr>
            <w:tcW w:w="1476"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972CEE" w:rsidRPr="00972CEE" w:rsidRDefault="00972CEE" w:rsidP="00972CEE">
            <w:pPr>
              <w:suppressAutoHyphens w:val="0"/>
              <w:jc w:val="center"/>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215 686,0</w:t>
            </w:r>
          </w:p>
        </w:tc>
      </w:tr>
      <w:tr w:rsidR="00972CEE" w:rsidRPr="00972CEE" w:rsidTr="00972CEE">
        <w:trPr>
          <w:trHeight w:val="26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Заработная плата, прочие выплаты и социальные отчисления</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(74 211,0)</w:t>
            </w:r>
          </w:p>
        </w:tc>
      </w:tr>
      <w:tr w:rsidR="00972CEE" w:rsidRPr="00972CEE" w:rsidTr="00972CEE">
        <w:trPr>
          <w:trHeight w:val="127"/>
          <w:jc w:val="center"/>
        </w:trPr>
        <w:tc>
          <w:tcPr>
            <w:tcW w:w="7313" w:type="dxa"/>
            <w:tcBorders>
              <w:top w:val="nil"/>
              <w:left w:val="single" w:sz="4" w:space="0" w:color="auto"/>
              <w:bottom w:val="nil"/>
              <w:right w:val="nil"/>
            </w:tcBorders>
            <w:shd w:val="clear" w:color="auto" w:fill="auto"/>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Расходные материалы и реагенты</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(13 631,0)</w:t>
            </w:r>
          </w:p>
        </w:tc>
      </w:tr>
      <w:tr w:rsidR="00972CEE" w:rsidRPr="00972CEE" w:rsidTr="00972CEE">
        <w:trPr>
          <w:trHeight w:val="17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НИОКР</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(19 583,0)</w:t>
            </w:r>
          </w:p>
        </w:tc>
      </w:tr>
      <w:tr w:rsidR="00972CEE" w:rsidRPr="00972CEE" w:rsidTr="00972CEE">
        <w:trPr>
          <w:trHeight w:val="133"/>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Арендная плата</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(15 084,0)</w:t>
            </w:r>
          </w:p>
        </w:tc>
      </w:tr>
      <w:tr w:rsidR="00972CEE" w:rsidRPr="00972CEE" w:rsidTr="00972CEE">
        <w:trPr>
          <w:trHeight w:val="221"/>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Реклама</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(10 671,0)</w:t>
            </w:r>
          </w:p>
        </w:tc>
      </w:tr>
      <w:tr w:rsidR="00972CEE" w:rsidRPr="00972CEE" w:rsidTr="00972CEE">
        <w:trPr>
          <w:trHeight w:val="140"/>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Медицинские услуги сторонних организаций (Услуги подрядчиков)</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(3 958,0)</w:t>
            </w:r>
          </w:p>
        </w:tc>
      </w:tr>
      <w:tr w:rsidR="00972CEE" w:rsidRPr="00972CEE" w:rsidTr="00972CEE">
        <w:trPr>
          <w:trHeight w:val="157"/>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Консультационные и аналогичные услуги</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(6 345,0)</w:t>
            </w:r>
          </w:p>
        </w:tc>
      </w:tr>
      <w:tr w:rsidR="00972CEE" w:rsidRPr="00972CEE" w:rsidTr="00972CEE">
        <w:trPr>
          <w:trHeight w:val="176"/>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Транспортные, командировочные и представительские расходы</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(5 659,0)</w:t>
            </w:r>
          </w:p>
        </w:tc>
      </w:tr>
      <w:tr w:rsidR="00972CEE" w:rsidRPr="00972CEE" w:rsidTr="00972CEE">
        <w:trPr>
          <w:trHeight w:val="193"/>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Ремонт и техобслуживание</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(2 448,0)</w:t>
            </w:r>
          </w:p>
        </w:tc>
      </w:tr>
      <w:tr w:rsidR="00972CEE" w:rsidRPr="00972CEE" w:rsidTr="00972CEE">
        <w:trPr>
          <w:trHeight w:val="212"/>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Налоги, кроме налога на прибыль</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(1 019,0)</w:t>
            </w:r>
          </w:p>
        </w:tc>
      </w:tr>
      <w:tr w:rsidR="00972CEE" w:rsidRPr="00972CEE" w:rsidTr="00972CEE">
        <w:trPr>
          <w:trHeight w:val="26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CD515D">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w:t>
            </w:r>
            <w:r w:rsidR="008D1223">
              <w:rPr>
                <w:rFonts w:ascii="Times New Roman CYR" w:hAnsi="Times New Roman CYR" w:cs="Times New Roman CYR"/>
                <w:sz w:val="18"/>
                <w:szCs w:val="18"/>
                <w:lang w:eastAsia="ru-RU"/>
              </w:rPr>
              <w:t>Восстановление</w:t>
            </w:r>
            <w:r w:rsidRPr="00972CEE">
              <w:rPr>
                <w:rFonts w:ascii="Times New Roman CYR" w:hAnsi="Times New Roman CYR" w:cs="Times New Roman CYR"/>
                <w:sz w:val="18"/>
                <w:szCs w:val="18"/>
                <w:lang w:eastAsia="ru-RU"/>
              </w:rPr>
              <w:t xml:space="preserve"> резерва по сомнитель</w:t>
            </w:r>
            <w:r w:rsidR="00CD515D">
              <w:rPr>
                <w:rFonts w:ascii="Times New Roman CYR" w:hAnsi="Times New Roman CYR" w:cs="Times New Roman CYR"/>
                <w:sz w:val="18"/>
                <w:szCs w:val="18"/>
                <w:lang w:eastAsia="ru-RU"/>
              </w:rPr>
              <w:t>ным долгам</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2 109,0</w:t>
            </w:r>
          </w:p>
        </w:tc>
      </w:tr>
      <w:tr w:rsidR="00972CEE" w:rsidRPr="00972CEE" w:rsidTr="00972CEE">
        <w:trPr>
          <w:trHeight w:val="217"/>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Увеличение резерва по отпускам</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(4 541,0)</w:t>
            </w:r>
          </w:p>
        </w:tc>
      </w:tr>
      <w:tr w:rsidR="00972CEE" w:rsidRPr="00972CEE" w:rsidTr="00972CEE">
        <w:trPr>
          <w:trHeight w:val="183"/>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Прочие операционные расходы</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(7 583,0)</w:t>
            </w:r>
          </w:p>
        </w:tc>
      </w:tr>
      <w:tr w:rsidR="00972CEE" w:rsidRPr="00972CEE" w:rsidTr="00972CEE">
        <w:trPr>
          <w:trHeight w:val="317"/>
          <w:jc w:val="center"/>
        </w:trPr>
        <w:tc>
          <w:tcPr>
            <w:tcW w:w="7313" w:type="dxa"/>
            <w:tcBorders>
              <w:top w:val="single" w:sz="8" w:space="0" w:color="auto"/>
              <w:left w:val="single" w:sz="4" w:space="0" w:color="auto"/>
              <w:bottom w:val="single" w:sz="8" w:space="0" w:color="auto"/>
              <w:right w:val="single" w:sz="8" w:space="0" w:color="auto"/>
            </w:tcBorders>
            <w:shd w:val="clear" w:color="000000" w:fill="000000"/>
            <w:vAlign w:val="bottom"/>
            <w:hideMark/>
          </w:tcPr>
          <w:p w:rsidR="00972CEE" w:rsidRPr="00972CEE" w:rsidRDefault="00972CEE" w:rsidP="00972CEE">
            <w:pPr>
              <w:suppressAutoHyphens w:val="0"/>
              <w:ind w:firstLineChars="100" w:firstLine="181"/>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 xml:space="preserve">Операционные расходы до амортизации </w:t>
            </w:r>
          </w:p>
        </w:tc>
        <w:tc>
          <w:tcPr>
            <w:tcW w:w="1476" w:type="dxa"/>
            <w:tcBorders>
              <w:top w:val="single" w:sz="8" w:space="0" w:color="auto"/>
              <w:left w:val="nil"/>
              <w:bottom w:val="single" w:sz="8" w:space="0" w:color="auto"/>
              <w:right w:val="single" w:sz="8" w:space="0" w:color="auto"/>
            </w:tcBorders>
            <w:shd w:val="clear" w:color="000000" w:fill="000000"/>
            <w:noWrap/>
            <w:vAlign w:val="bottom"/>
            <w:hideMark/>
          </w:tcPr>
          <w:p w:rsidR="00972CEE" w:rsidRPr="00972CEE" w:rsidRDefault="00972CEE" w:rsidP="00972CEE">
            <w:pPr>
              <w:suppressAutoHyphens w:val="0"/>
              <w:jc w:val="center"/>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(162 624,0)</w:t>
            </w:r>
          </w:p>
        </w:tc>
      </w:tr>
      <w:tr w:rsidR="00972CEE" w:rsidRPr="00972CEE" w:rsidTr="00972CEE">
        <w:trPr>
          <w:trHeight w:val="264"/>
          <w:jc w:val="center"/>
        </w:trPr>
        <w:tc>
          <w:tcPr>
            <w:tcW w:w="731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color w:val="0000FF"/>
                <w:sz w:val="18"/>
                <w:szCs w:val="18"/>
                <w:lang w:eastAsia="ru-RU"/>
              </w:rPr>
            </w:pPr>
            <w:r w:rsidRPr="00972CEE">
              <w:rPr>
                <w:rFonts w:ascii="Times New Roman CYR" w:hAnsi="Times New Roman CYR" w:cs="Times New Roman CYR"/>
                <w:b/>
                <w:bCs/>
                <w:color w:val="0000FF"/>
                <w:sz w:val="18"/>
                <w:szCs w:val="18"/>
                <w:lang w:eastAsia="ru-RU"/>
              </w:rPr>
              <w:t>OIBDA</w:t>
            </w:r>
          </w:p>
        </w:tc>
        <w:tc>
          <w:tcPr>
            <w:tcW w:w="1476" w:type="dxa"/>
            <w:tcBorders>
              <w:top w:val="nil"/>
              <w:left w:val="nil"/>
              <w:bottom w:val="single" w:sz="4" w:space="0" w:color="auto"/>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b/>
                <w:bCs/>
                <w:color w:val="0000FF"/>
                <w:sz w:val="18"/>
                <w:szCs w:val="18"/>
                <w:lang w:eastAsia="ru-RU"/>
              </w:rPr>
            </w:pPr>
            <w:r w:rsidRPr="00972CEE">
              <w:rPr>
                <w:rFonts w:ascii="Times New Roman CYR" w:hAnsi="Times New Roman CYR" w:cs="Times New Roman CYR"/>
                <w:b/>
                <w:bCs/>
                <w:color w:val="0000FF"/>
                <w:sz w:val="18"/>
                <w:szCs w:val="18"/>
                <w:lang w:eastAsia="ru-RU"/>
              </w:rPr>
              <w:t>53 062,0</w:t>
            </w:r>
          </w:p>
        </w:tc>
      </w:tr>
      <w:tr w:rsidR="00972CEE" w:rsidRPr="00972CEE" w:rsidTr="00972CEE">
        <w:trPr>
          <w:trHeight w:val="264"/>
          <w:jc w:val="center"/>
        </w:trPr>
        <w:tc>
          <w:tcPr>
            <w:tcW w:w="7313" w:type="dxa"/>
            <w:tcBorders>
              <w:top w:val="single" w:sz="4" w:space="0" w:color="auto"/>
              <w:left w:val="single" w:sz="4" w:space="0" w:color="auto"/>
              <w:bottom w:val="single" w:sz="4" w:space="0" w:color="auto"/>
              <w:right w:val="single" w:sz="8" w:space="0" w:color="auto"/>
            </w:tcBorders>
            <w:shd w:val="clear" w:color="000000" w:fill="CCFFFF"/>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color w:val="0000FF"/>
                <w:sz w:val="18"/>
                <w:szCs w:val="18"/>
                <w:lang w:val="en-US" w:eastAsia="ru-RU"/>
              </w:rPr>
            </w:pPr>
            <w:r w:rsidRPr="00972CEE">
              <w:rPr>
                <w:rFonts w:ascii="Times New Roman CYR" w:hAnsi="Times New Roman CYR" w:cs="Times New Roman CYR"/>
                <w:b/>
                <w:bCs/>
                <w:i/>
                <w:iCs/>
                <w:color w:val="0000FF"/>
                <w:sz w:val="18"/>
                <w:szCs w:val="18"/>
                <w:lang w:eastAsia="ru-RU"/>
              </w:rPr>
              <w:t>Маржа</w:t>
            </w:r>
            <w:r w:rsidRPr="00972CEE">
              <w:rPr>
                <w:rFonts w:ascii="Times New Roman CYR" w:hAnsi="Times New Roman CYR" w:cs="Times New Roman CYR"/>
                <w:b/>
                <w:bCs/>
                <w:i/>
                <w:iCs/>
                <w:color w:val="0000FF"/>
                <w:sz w:val="18"/>
                <w:szCs w:val="18"/>
                <w:lang w:val="en-US" w:eastAsia="ru-RU"/>
              </w:rPr>
              <w:t xml:space="preserve"> </w:t>
            </w:r>
            <w:r w:rsidRPr="00972CEE">
              <w:rPr>
                <w:rFonts w:ascii="Times New Roman CYR" w:hAnsi="Times New Roman CYR" w:cs="Times New Roman CYR"/>
                <w:b/>
                <w:bCs/>
                <w:i/>
                <w:iCs/>
                <w:color w:val="0000FF"/>
                <w:sz w:val="18"/>
                <w:szCs w:val="18"/>
                <w:lang w:eastAsia="ru-RU"/>
              </w:rPr>
              <w:t>по</w:t>
            </w:r>
            <w:r w:rsidRPr="00972CEE">
              <w:rPr>
                <w:rFonts w:ascii="Times New Roman CYR" w:hAnsi="Times New Roman CYR" w:cs="Times New Roman CYR"/>
                <w:b/>
                <w:bCs/>
                <w:i/>
                <w:iCs/>
                <w:color w:val="0000FF"/>
                <w:sz w:val="18"/>
                <w:szCs w:val="18"/>
                <w:lang w:val="en-US" w:eastAsia="ru-RU"/>
              </w:rPr>
              <w:t xml:space="preserve"> OIBDA (OIBDA margin), %</w:t>
            </w:r>
          </w:p>
        </w:tc>
        <w:tc>
          <w:tcPr>
            <w:tcW w:w="1476" w:type="dxa"/>
            <w:tcBorders>
              <w:top w:val="nil"/>
              <w:left w:val="nil"/>
              <w:bottom w:val="single" w:sz="4" w:space="0" w:color="auto"/>
              <w:right w:val="single" w:sz="8" w:space="0" w:color="auto"/>
            </w:tcBorders>
            <w:shd w:val="clear" w:color="000000" w:fill="CCFFFF"/>
            <w:noWrap/>
            <w:vAlign w:val="bottom"/>
            <w:hideMark/>
          </w:tcPr>
          <w:p w:rsidR="00972CEE" w:rsidRPr="00972CEE" w:rsidRDefault="00972CEE" w:rsidP="00972CEE">
            <w:pPr>
              <w:suppressAutoHyphens w:val="0"/>
              <w:jc w:val="center"/>
              <w:rPr>
                <w:rFonts w:ascii="Times New Roman CYR" w:hAnsi="Times New Roman CYR" w:cs="Times New Roman CYR"/>
                <w:b/>
                <w:bCs/>
                <w:i/>
                <w:iCs/>
                <w:color w:val="0000FF"/>
                <w:sz w:val="18"/>
                <w:szCs w:val="18"/>
                <w:lang w:eastAsia="ru-RU"/>
              </w:rPr>
            </w:pPr>
            <w:r w:rsidRPr="00972CEE">
              <w:rPr>
                <w:rFonts w:ascii="Times New Roman CYR" w:hAnsi="Times New Roman CYR" w:cs="Times New Roman CYR"/>
                <w:b/>
                <w:bCs/>
                <w:i/>
                <w:iCs/>
                <w:color w:val="0000FF"/>
                <w:sz w:val="18"/>
                <w:szCs w:val="18"/>
                <w:lang w:eastAsia="ru-RU"/>
              </w:rPr>
              <w:t>24,6%</w:t>
            </w:r>
          </w:p>
        </w:tc>
      </w:tr>
      <w:tr w:rsidR="00972CEE" w:rsidRPr="00972CEE" w:rsidTr="00972CEE">
        <w:trPr>
          <w:trHeight w:val="26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Амортизационные отчисления (ОС + НМА)</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(10 712,0)</w:t>
            </w:r>
          </w:p>
        </w:tc>
      </w:tr>
      <w:tr w:rsidR="00972CEE" w:rsidRPr="00972CEE" w:rsidTr="00972CEE">
        <w:trPr>
          <w:trHeight w:val="255"/>
          <w:jc w:val="center"/>
        </w:trPr>
        <w:tc>
          <w:tcPr>
            <w:tcW w:w="7313" w:type="dxa"/>
            <w:tcBorders>
              <w:top w:val="single" w:sz="4" w:space="0" w:color="auto"/>
              <w:left w:val="single" w:sz="4" w:space="0" w:color="auto"/>
              <w:bottom w:val="single" w:sz="4" w:space="0" w:color="auto"/>
              <w:right w:val="single" w:sz="8" w:space="0" w:color="auto"/>
            </w:tcBorders>
            <w:shd w:val="clear" w:color="000000" w:fill="000000"/>
            <w:vAlign w:val="bottom"/>
            <w:hideMark/>
          </w:tcPr>
          <w:p w:rsidR="00972CEE" w:rsidRPr="00972CEE" w:rsidRDefault="00972CEE" w:rsidP="00972CEE">
            <w:pPr>
              <w:suppressAutoHyphens w:val="0"/>
              <w:ind w:firstLineChars="100" w:firstLine="181"/>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 xml:space="preserve">Операционные расходы </w:t>
            </w:r>
          </w:p>
        </w:tc>
        <w:tc>
          <w:tcPr>
            <w:tcW w:w="1476" w:type="dxa"/>
            <w:tcBorders>
              <w:top w:val="nil"/>
              <w:left w:val="nil"/>
              <w:bottom w:val="nil"/>
              <w:right w:val="single" w:sz="8" w:space="0" w:color="auto"/>
            </w:tcBorders>
            <w:shd w:val="clear" w:color="000000" w:fill="000000"/>
            <w:noWrap/>
            <w:vAlign w:val="bottom"/>
            <w:hideMark/>
          </w:tcPr>
          <w:p w:rsidR="00972CEE" w:rsidRPr="00972CEE" w:rsidRDefault="00972CEE" w:rsidP="00972CEE">
            <w:pPr>
              <w:suppressAutoHyphens w:val="0"/>
              <w:jc w:val="center"/>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(173 336,0)</w:t>
            </w:r>
          </w:p>
        </w:tc>
      </w:tr>
      <w:tr w:rsidR="00972CEE" w:rsidRPr="00972CEE" w:rsidTr="00972CEE">
        <w:trPr>
          <w:trHeight w:val="264"/>
          <w:jc w:val="center"/>
        </w:trPr>
        <w:tc>
          <w:tcPr>
            <w:tcW w:w="731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color w:val="0000FF"/>
                <w:sz w:val="18"/>
                <w:szCs w:val="18"/>
                <w:lang w:eastAsia="ru-RU"/>
              </w:rPr>
            </w:pPr>
            <w:r w:rsidRPr="00972CEE">
              <w:rPr>
                <w:rFonts w:ascii="Times New Roman CYR" w:hAnsi="Times New Roman CYR" w:cs="Times New Roman CYR"/>
                <w:b/>
                <w:bCs/>
                <w:color w:val="0000FF"/>
                <w:sz w:val="18"/>
                <w:szCs w:val="18"/>
                <w:lang w:eastAsia="ru-RU"/>
              </w:rPr>
              <w:t xml:space="preserve">Операционная прибыль </w:t>
            </w:r>
          </w:p>
        </w:tc>
        <w:tc>
          <w:tcPr>
            <w:tcW w:w="1476" w:type="dxa"/>
            <w:tcBorders>
              <w:top w:val="single" w:sz="8" w:space="0" w:color="auto"/>
              <w:left w:val="nil"/>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b/>
                <w:bCs/>
                <w:color w:val="0000FF"/>
                <w:sz w:val="18"/>
                <w:szCs w:val="18"/>
                <w:lang w:eastAsia="ru-RU"/>
              </w:rPr>
            </w:pPr>
            <w:r w:rsidRPr="00972CEE">
              <w:rPr>
                <w:rFonts w:ascii="Times New Roman CYR" w:hAnsi="Times New Roman CYR" w:cs="Times New Roman CYR"/>
                <w:b/>
                <w:bCs/>
                <w:color w:val="0000FF"/>
                <w:sz w:val="18"/>
                <w:szCs w:val="18"/>
                <w:lang w:eastAsia="ru-RU"/>
              </w:rPr>
              <w:t>42 350,0</w:t>
            </w:r>
          </w:p>
        </w:tc>
      </w:tr>
      <w:tr w:rsidR="00972CEE" w:rsidRPr="00972CEE" w:rsidTr="00972CEE">
        <w:trPr>
          <w:trHeight w:val="264"/>
          <w:jc w:val="center"/>
        </w:trPr>
        <w:tc>
          <w:tcPr>
            <w:tcW w:w="7313" w:type="dxa"/>
            <w:tcBorders>
              <w:top w:val="single" w:sz="4" w:space="0" w:color="auto"/>
              <w:left w:val="single" w:sz="4" w:space="0" w:color="auto"/>
              <w:bottom w:val="single" w:sz="4" w:space="0" w:color="auto"/>
              <w:right w:val="single" w:sz="8" w:space="0" w:color="auto"/>
            </w:tcBorders>
            <w:shd w:val="clear" w:color="000000" w:fill="CCFFFF"/>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color w:val="0000FF"/>
                <w:sz w:val="18"/>
                <w:szCs w:val="18"/>
                <w:lang w:eastAsia="ru-RU"/>
              </w:rPr>
            </w:pPr>
            <w:r w:rsidRPr="00972CEE">
              <w:rPr>
                <w:rFonts w:ascii="Times New Roman CYR" w:hAnsi="Times New Roman CYR" w:cs="Times New Roman CYR"/>
                <w:b/>
                <w:bCs/>
                <w:i/>
                <w:iCs/>
                <w:color w:val="0000FF"/>
                <w:sz w:val="18"/>
                <w:szCs w:val="18"/>
                <w:lang w:eastAsia="ru-RU"/>
              </w:rPr>
              <w:t xml:space="preserve">Маржа </w:t>
            </w:r>
            <w:proofErr w:type="gramStart"/>
            <w:r w:rsidRPr="00972CEE">
              <w:rPr>
                <w:rFonts w:ascii="Times New Roman CYR" w:hAnsi="Times New Roman CYR" w:cs="Times New Roman CYR"/>
                <w:b/>
                <w:bCs/>
                <w:i/>
                <w:iCs/>
                <w:color w:val="0000FF"/>
                <w:sz w:val="18"/>
                <w:szCs w:val="18"/>
                <w:lang w:eastAsia="ru-RU"/>
              </w:rPr>
              <w:t>по операционной</w:t>
            </w:r>
            <w:proofErr w:type="gramEnd"/>
            <w:r w:rsidRPr="00972CEE">
              <w:rPr>
                <w:rFonts w:ascii="Times New Roman CYR" w:hAnsi="Times New Roman CYR" w:cs="Times New Roman CYR"/>
                <w:b/>
                <w:bCs/>
                <w:i/>
                <w:iCs/>
                <w:color w:val="0000FF"/>
                <w:sz w:val="18"/>
                <w:szCs w:val="18"/>
                <w:lang w:eastAsia="ru-RU"/>
              </w:rPr>
              <w:t xml:space="preserve"> прибыли (</w:t>
            </w:r>
            <w:proofErr w:type="spellStart"/>
            <w:r w:rsidRPr="00972CEE">
              <w:rPr>
                <w:rFonts w:ascii="Times New Roman CYR" w:hAnsi="Times New Roman CYR" w:cs="Times New Roman CYR"/>
                <w:b/>
                <w:bCs/>
                <w:i/>
                <w:iCs/>
                <w:color w:val="0000FF"/>
                <w:sz w:val="18"/>
                <w:szCs w:val="18"/>
                <w:lang w:eastAsia="ru-RU"/>
              </w:rPr>
              <w:t>Operating</w:t>
            </w:r>
            <w:proofErr w:type="spellEnd"/>
            <w:r w:rsidRPr="00972CEE">
              <w:rPr>
                <w:rFonts w:ascii="Times New Roman CYR" w:hAnsi="Times New Roman CYR" w:cs="Times New Roman CYR"/>
                <w:b/>
                <w:bCs/>
                <w:i/>
                <w:iCs/>
                <w:color w:val="0000FF"/>
                <w:sz w:val="18"/>
                <w:szCs w:val="18"/>
                <w:lang w:eastAsia="ru-RU"/>
              </w:rPr>
              <w:t xml:space="preserve"> </w:t>
            </w:r>
            <w:proofErr w:type="spellStart"/>
            <w:r w:rsidRPr="00972CEE">
              <w:rPr>
                <w:rFonts w:ascii="Times New Roman CYR" w:hAnsi="Times New Roman CYR" w:cs="Times New Roman CYR"/>
                <w:b/>
                <w:bCs/>
                <w:i/>
                <w:iCs/>
                <w:color w:val="0000FF"/>
                <w:sz w:val="18"/>
                <w:szCs w:val="18"/>
                <w:lang w:eastAsia="ru-RU"/>
              </w:rPr>
              <w:t>margin</w:t>
            </w:r>
            <w:proofErr w:type="spellEnd"/>
            <w:r w:rsidRPr="00972CEE">
              <w:rPr>
                <w:rFonts w:ascii="Times New Roman CYR" w:hAnsi="Times New Roman CYR" w:cs="Times New Roman CYR"/>
                <w:b/>
                <w:bCs/>
                <w:i/>
                <w:iCs/>
                <w:color w:val="0000FF"/>
                <w:sz w:val="18"/>
                <w:szCs w:val="18"/>
                <w:lang w:eastAsia="ru-RU"/>
              </w:rPr>
              <w:t>), %</w:t>
            </w:r>
          </w:p>
        </w:tc>
        <w:tc>
          <w:tcPr>
            <w:tcW w:w="1476" w:type="dxa"/>
            <w:tcBorders>
              <w:top w:val="single" w:sz="4" w:space="0" w:color="auto"/>
              <w:left w:val="nil"/>
              <w:bottom w:val="single" w:sz="4" w:space="0" w:color="auto"/>
              <w:right w:val="single" w:sz="8" w:space="0" w:color="auto"/>
            </w:tcBorders>
            <w:shd w:val="clear" w:color="000000" w:fill="CCFFFF"/>
            <w:noWrap/>
            <w:vAlign w:val="bottom"/>
            <w:hideMark/>
          </w:tcPr>
          <w:p w:rsidR="00972CEE" w:rsidRPr="00972CEE" w:rsidRDefault="00972CEE" w:rsidP="00972CEE">
            <w:pPr>
              <w:suppressAutoHyphens w:val="0"/>
              <w:jc w:val="center"/>
              <w:rPr>
                <w:rFonts w:ascii="Times New Roman CYR" w:hAnsi="Times New Roman CYR" w:cs="Times New Roman CYR"/>
                <w:b/>
                <w:bCs/>
                <w:i/>
                <w:iCs/>
                <w:color w:val="0000FF"/>
                <w:sz w:val="18"/>
                <w:szCs w:val="18"/>
                <w:lang w:eastAsia="ru-RU"/>
              </w:rPr>
            </w:pPr>
            <w:r w:rsidRPr="00972CEE">
              <w:rPr>
                <w:rFonts w:ascii="Times New Roman CYR" w:hAnsi="Times New Roman CYR" w:cs="Times New Roman CYR"/>
                <w:b/>
                <w:bCs/>
                <w:i/>
                <w:iCs/>
                <w:color w:val="0000FF"/>
                <w:sz w:val="18"/>
                <w:szCs w:val="18"/>
                <w:lang w:eastAsia="ru-RU"/>
              </w:rPr>
              <w:t>19,6%</w:t>
            </w:r>
          </w:p>
        </w:tc>
      </w:tr>
      <w:tr w:rsidR="00972CEE" w:rsidRPr="00972CEE" w:rsidTr="00972CEE">
        <w:trPr>
          <w:trHeight w:val="264"/>
          <w:jc w:val="center"/>
        </w:trPr>
        <w:tc>
          <w:tcPr>
            <w:tcW w:w="7313" w:type="dxa"/>
            <w:tcBorders>
              <w:top w:val="single" w:sz="4" w:space="0" w:color="auto"/>
              <w:left w:val="single" w:sz="4" w:space="0" w:color="auto"/>
              <w:bottom w:val="nil"/>
              <w:right w:val="single" w:sz="8" w:space="0" w:color="auto"/>
            </w:tcBorders>
            <w:shd w:val="clear" w:color="000000" w:fill="C0C0C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 xml:space="preserve">Прибыль от участия в ассоциированных компаниях </w:t>
            </w:r>
          </w:p>
        </w:tc>
        <w:tc>
          <w:tcPr>
            <w:tcW w:w="1476" w:type="dxa"/>
            <w:tcBorders>
              <w:top w:val="nil"/>
              <w:left w:val="nil"/>
              <w:bottom w:val="nil"/>
              <w:right w:val="single" w:sz="8" w:space="0" w:color="auto"/>
            </w:tcBorders>
            <w:shd w:val="clear" w:color="000000" w:fill="C0C0C0"/>
            <w:noWrap/>
            <w:vAlign w:val="bottom"/>
            <w:hideMark/>
          </w:tcPr>
          <w:p w:rsidR="00972CEE" w:rsidRPr="00972CEE" w:rsidRDefault="00972CEE" w:rsidP="00972CEE">
            <w:pPr>
              <w:suppressAutoHyphens w:val="0"/>
              <w:jc w:val="center"/>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7 861,0</w:t>
            </w:r>
          </w:p>
        </w:tc>
      </w:tr>
      <w:tr w:rsidR="00972CEE" w:rsidRPr="00972CEE" w:rsidTr="00972CEE">
        <w:trPr>
          <w:trHeight w:val="78"/>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rPr>
                <w:rFonts w:ascii="Arial CYR" w:hAnsi="Arial CYR" w:cs="Arial CYR"/>
                <w:sz w:val="20"/>
                <w:szCs w:val="20"/>
                <w:lang w:eastAsia="ru-RU"/>
              </w:rPr>
            </w:pP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rPr>
                <w:rFonts w:ascii="Arial CYR" w:hAnsi="Arial CYR" w:cs="Arial CYR"/>
                <w:sz w:val="20"/>
                <w:szCs w:val="20"/>
                <w:lang w:eastAsia="ru-RU"/>
              </w:rPr>
            </w:pPr>
            <w:r w:rsidRPr="00972CEE">
              <w:rPr>
                <w:rFonts w:ascii="Arial CYR" w:hAnsi="Arial CYR" w:cs="Arial CYR"/>
                <w:sz w:val="20"/>
                <w:szCs w:val="20"/>
                <w:lang w:eastAsia="ru-RU"/>
              </w:rPr>
              <w:t> </w:t>
            </w:r>
          </w:p>
        </w:tc>
      </w:tr>
      <w:tr w:rsidR="00972CEE" w:rsidRPr="00972CEE" w:rsidTr="00972CEE">
        <w:trPr>
          <w:trHeight w:val="279"/>
          <w:jc w:val="center"/>
        </w:trPr>
        <w:tc>
          <w:tcPr>
            <w:tcW w:w="7313" w:type="dxa"/>
            <w:tcBorders>
              <w:top w:val="nil"/>
              <w:left w:val="single" w:sz="4" w:space="0" w:color="auto"/>
              <w:bottom w:val="nil"/>
              <w:right w:val="nil"/>
            </w:tcBorders>
            <w:shd w:val="clear" w:color="000000" w:fill="C0C0C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Фин</w:t>
            </w:r>
            <w:r w:rsidR="005113B0">
              <w:rPr>
                <w:rFonts w:ascii="Times New Roman CYR" w:hAnsi="Times New Roman CYR" w:cs="Times New Roman CYR"/>
                <w:b/>
                <w:bCs/>
                <w:i/>
                <w:iCs/>
                <w:sz w:val="18"/>
                <w:szCs w:val="18"/>
                <w:lang w:eastAsia="ru-RU"/>
              </w:rPr>
              <w:t xml:space="preserve">ансовые доходы, нетто –  в </w:t>
            </w:r>
            <w:proofErr w:type="spellStart"/>
            <w:r w:rsidR="005113B0">
              <w:rPr>
                <w:rFonts w:ascii="Times New Roman CYR" w:hAnsi="Times New Roman CYR" w:cs="Times New Roman CYR"/>
                <w:b/>
                <w:bCs/>
                <w:i/>
                <w:iCs/>
                <w:sz w:val="18"/>
                <w:szCs w:val="18"/>
                <w:lang w:eastAsia="ru-RU"/>
              </w:rPr>
              <w:t>т.ч</w:t>
            </w:r>
            <w:proofErr w:type="spellEnd"/>
            <w:r w:rsidR="005113B0">
              <w:rPr>
                <w:rFonts w:ascii="Times New Roman CYR" w:hAnsi="Times New Roman CYR" w:cs="Times New Roman CYR"/>
                <w:b/>
                <w:bCs/>
                <w:i/>
                <w:iCs/>
                <w:sz w:val="18"/>
                <w:szCs w:val="18"/>
                <w:lang w:eastAsia="ru-RU"/>
              </w:rPr>
              <w:t>.:</w:t>
            </w:r>
          </w:p>
        </w:tc>
        <w:tc>
          <w:tcPr>
            <w:tcW w:w="1476" w:type="dxa"/>
            <w:tcBorders>
              <w:top w:val="nil"/>
              <w:left w:val="single" w:sz="8" w:space="0" w:color="auto"/>
              <w:bottom w:val="nil"/>
              <w:right w:val="single" w:sz="8" w:space="0" w:color="auto"/>
            </w:tcBorders>
            <w:shd w:val="clear" w:color="000000" w:fill="C0C0C0"/>
            <w:noWrap/>
            <w:vAlign w:val="bottom"/>
            <w:hideMark/>
          </w:tcPr>
          <w:p w:rsidR="00972CEE" w:rsidRPr="00972CEE" w:rsidRDefault="00972CEE" w:rsidP="00972CEE">
            <w:pPr>
              <w:suppressAutoHyphens w:val="0"/>
              <w:jc w:val="center"/>
              <w:rPr>
                <w:b/>
                <w:bCs/>
                <w:i/>
                <w:iCs/>
                <w:sz w:val="18"/>
                <w:szCs w:val="18"/>
                <w:lang w:eastAsia="ru-RU"/>
              </w:rPr>
            </w:pPr>
            <w:r w:rsidRPr="00972CEE">
              <w:rPr>
                <w:b/>
                <w:bCs/>
                <w:i/>
                <w:iCs/>
                <w:sz w:val="18"/>
                <w:szCs w:val="18"/>
                <w:lang w:eastAsia="ru-RU"/>
              </w:rPr>
              <w:t>611,0</w:t>
            </w:r>
          </w:p>
        </w:tc>
      </w:tr>
      <w:tr w:rsidR="00972CEE" w:rsidRPr="00972CEE" w:rsidTr="00972CEE">
        <w:trPr>
          <w:trHeight w:val="26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Проценты к уплате</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iCs/>
                <w:sz w:val="18"/>
                <w:szCs w:val="18"/>
                <w:lang w:eastAsia="ru-RU"/>
              </w:rPr>
            </w:pPr>
            <w:r w:rsidRPr="00972CEE">
              <w:rPr>
                <w:rFonts w:ascii="Times New Roman CYR" w:hAnsi="Times New Roman CYR" w:cs="Times New Roman CYR"/>
                <w:iCs/>
                <w:sz w:val="18"/>
                <w:szCs w:val="18"/>
                <w:lang w:eastAsia="ru-RU"/>
              </w:rPr>
              <w:t>(10 113,0)</w:t>
            </w:r>
          </w:p>
        </w:tc>
      </w:tr>
      <w:tr w:rsidR="00972CEE" w:rsidRPr="00972CEE" w:rsidTr="00972CEE">
        <w:trPr>
          <w:trHeight w:val="26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Проценты к получению</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iCs/>
                <w:sz w:val="18"/>
                <w:szCs w:val="18"/>
                <w:lang w:eastAsia="ru-RU"/>
              </w:rPr>
            </w:pPr>
            <w:r w:rsidRPr="00972CEE">
              <w:rPr>
                <w:rFonts w:ascii="Times New Roman CYR" w:hAnsi="Times New Roman CYR" w:cs="Times New Roman CYR"/>
                <w:iCs/>
                <w:sz w:val="18"/>
                <w:szCs w:val="18"/>
                <w:lang w:eastAsia="ru-RU"/>
              </w:rPr>
              <w:t>2 184,0</w:t>
            </w:r>
          </w:p>
        </w:tc>
      </w:tr>
      <w:tr w:rsidR="00972CEE" w:rsidRPr="00972CEE" w:rsidTr="00972CEE">
        <w:trPr>
          <w:trHeight w:val="217"/>
          <w:jc w:val="center"/>
        </w:trPr>
        <w:tc>
          <w:tcPr>
            <w:tcW w:w="7313" w:type="dxa"/>
            <w:tcBorders>
              <w:top w:val="nil"/>
              <w:left w:val="single" w:sz="4" w:space="0" w:color="auto"/>
              <w:bottom w:val="nil"/>
              <w:right w:val="nil"/>
            </w:tcBorders>
            <w:shd w:val="clear" w:color="auto" w:fill="auto"/>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Доходы от дисконтирования долгосрочной кредиторской задолженности              </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iCs/>
                <w:sz w:val="18"/>
                <w:szCs w:val="18"/>
                <w:lang w:eastAsia="ru-RU"/>
              </w:rPr>
            </w:pPr>
            <w:r w:rsidRPr="00972CEE">
              <w:rPr>
                <w:rFonts w:ascii="Times New Roman CYR" w:hAnsi="Times New Roman CYR" w:cs="Times New Roman CYR"/>
                <w:iCs/>
                <w:sz w:val="18"/>
                <w:szCs w:val="18"/>
                <w:lang w:eastAsia="ru-RU"/>
              </w:rPr>
              <w:t>9 726,0</w:t>
            </w:r>
          </w:p>
        </w:tc>
      </w:tr>
      <w:tr w:rsidR="00972CEE" w:rsidRPr="00972CEE" w:rsidTr="00972CEE">
        <w:trPr>
          <w:trHeight w:val="236"/>
          <w:jc w:val="center"/>
        </w:trPr>
        <w:tc>
          <w:tcPr>
            <w:tcW w:w="7313" w:type="dxa"/>
            <w:tcBorders>
              <w:top w:val="nil"/>
              <w:left w:val="single" w:sz="4" w:space="0" w:color="auto"/>
              <w:bottom w:val="nil"/>
              <w:right w:val="nil"/>
            </w:tcBorders>
            <w:shd w:val="clear" w:color="auto" w:fill="auto"/>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Убыток от продажи финансовых вложений</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iCs/>
                <w:sz w:val="18"/>
                <w:szCs w:val="18"/>
                <w:lang w:eastAsia="ru-RU"/>
              </w:rPr>
            </w:pPr>
            <w:r w:rsidRPr="00972CEE">
              <w:rPr>
                <w:rFonts w:ascii="Times New Roman CYR" w:hAnsi="Times New Roman CYR" w:cs="Times New Roman CYR"/>
                <w:iCs/>
                <w:sz w:val="18"/>
                <w:szCs w:val="18"/>
                <w:lang w:eastAsia="ru-RU"/>
              </w:rPr>
              <w:t>(611,0)</w:t>
            </w:r>
          </w:p>
        </w:tc>
      </w:tr>
      <w:tr w:rsidR="00972CEE" w:rsidRPr="00972CEE" w:rsidTr="00972CEE">
        <w:trPr>
          <w:trHeight w:val="195"/>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Прибыль от курсовых разниц, нетто</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iCs/>
                <w:sz w:val="18"/>
                <w:szCs w:val="18"/>
                <w:lang w:eastAsia="ru-RU"/>
              </w:rPr>
            </w:pPr>
            <w:r w:rsidRPr="00972CEE">
              <w:rPr>
                <w:rFonts w:ascii="Times New Roman CYR" w:hAnsi="Times New Roman CYR" w:cs="Times New Roman CYR"/>
                <w:iCs/>
                <w:sz w:val="18"/>
                <w:szCs w:val="18"/>
                <w:lang w:eastAsia="ru-RU"/>
              </w:rPr>
              <w:t>1 002,0</w:t>
            </w:r>
          </w:p>
        </w:tc>
      </w:tr>
      <w:tr w:rsidR="00972CEE" w:rsidRPr="00972CEE" w:rsidTr="00972CEE">
        <w:trPr>
          <w:trHeight w:val="255"/>
          <w:jc w:val="center"/>
        </w:trPr>
        <w:tc>
          <w:tcPr>
            <w:tcW w:w="7313" w:type="dxa"/>
            <w:tcBorders>
              <w:top w:val="nil"/>
              <w:left w:val="single" w:sz="4" w:space="0" w:color="auto"/>
              <w:bottom w:val="nil"/>
              <w:right w:val="nil"/>
            </w:tcBorders>
            <w:shd w:val="clear" w:color="auto" w:fill="auto"/>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Убыток от операции факторинга</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iCs/>
                <w:sz w:val="18"/>
                <w:szCs w:val="18"/>
                <w:lang w:eastAsia="ru-RU"/>
              </w:rPr>
            </w:pPr>
            <w:r w:rsidRPr="00972CEE">
              <w:rPr>
                <w:rFonts w:ascii="Times New Roman CYR" w:hAnsi="Times New Roman CYR" w:cs="Times New Roman CYR"/>
                <w:iCs/>
                <w:sz w:val="18"/>
                <w:szCs w:val="18"/>
                <w:lang w:eastAsia="ru-RU"/>
              </w:rPr>
              <w:t>(1 577,0)</w:t>
            </w:r>
          </w:p>
        </w:tc>
      </w:tr>
      <w:tr w:rsidR="00972CEE" w:rsidRPr="00972CEE" w:rsidTr="00972CEE">
        <w:trPr>
          <w:trHeight w:val="255"/>
          <w:jc w:val="center"/>
        </w:trPr>
        <w:tc>
          <w:tcPr>
            <w:tcW w:w="7313" w:type="dxa"/>
            <w:tcBorders>
              <w:top w:val="nil"/>
              <w:left w:val="single" w:sz="4" w:space="0" w:color="auto"/>
              <w:bottom w:val="nil"/>
              <w:right w:val="nil"/>
            </w:tcBorders>
            <w:shd w:val="clear" w:color="000000" w:fill="C0C0C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Прибыль до налогообложения</w:t>
            </w:r>
          </w:p>
        </w:tc>
        <w:tc>
          <w:tcPr>
            <w:tcW w:w="1476" w:type="dxa"/>
            <w:tcBorders>
              <w:top w:val="nil"/>
              <w:left w:val="single" w:sz="8" w:space="0" w:color="auto"/>
              <w:bottom w:val="nil"/>
              <w:right w:val="single" w:sz="8" w:space="0" w:color="auto"/>
            </w:tcBorders>
            <w:shd w:val="clear" w:color="000000" w:fill="C0C0C0"/>
            <w:noWrap/>
            <w:vAlign w:val="bottom"/>
            <w:hideMark/>
          </w:tcPr>
          <w:p w:rsidR="00972CEE" w:rsidRPr="00972CEE" w:rsidRDefault="00972CEE" w:rsidP="00972CEE">
            <w:pPr>
              <w:suppressAutoHyphens w:val="0"/>
              <w:jc w:val="center"/>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50 822,0</w:t>
            </w:r>
          </w:p>
        </w:tc>
      </w:tr>
      <w:tr w:rsidR="00972CEE" w:rsidRPr="00972CEE" w:rsidTr="00972CEE">
        <w:trPr>
          <w:trHeight w:val="26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Расходы по текущему налогу на прибыль</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(3 943,0)</w:t>
            </w:r>
          </w:p>
        </w:tc>
      </w:tr>
      <w:tr w:rsidR="00972CEE" w:rsidRPr="00972CEE" w:rsidTr="00972CEE">
        <w:trPr>
          <w:trHeight w:val="264"/>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ind w:firstLineChars="100" w:firstLine="180"/>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 xml:space="preserve">   Расходы по отложенному налогу на прибыль</w:t>
            </w: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jc w:val="center"/>
              <w:rPr>
                <w:rFonts w:ascii="Times New Roman CYR" w:hAnsi="Times New Roman CYR" w:cs="Times New Roman CYR"/>
                <w:sz w:val="18"/>
                <w:szCs w:val="18"/>
                <w:lang w:eastAsia="ru-RU"/>
              </w:rPr>
            </w:pPr>
            <w:r w:rsidRPr="00972CEE">
              <w:rPr>
                <w:rFonts w:ascii="Times New Roman CYR" w:hAnsi="Times New Roman CYR" w:cs="Times New Roman CYR"/>
                <w:sz w:val="18"/>
                <w:szCs w:val="18"/>
                <w:lang w:eastAsia="ru-RU"/>
              </w:rPr>
              <w:t>(2 687,0)</w:t>
            </w:r>
          </w:p>
        </w:tc>
      </w:tr>
      <w:tr w:rsidR="00972CEE" w:rsidRPr="00972CEE" w:rsidTr="00972CEE">
        <w:trPr>
          <w:trHeight w:val="264"/>
          <w:jc w:val="center"/>
        </w:trPr>
        <w:tc>
          <w:tcPr>
            <w:tcW w:w="7313" w:type="dxa"/>
            <w:tcBorders>
              <w:top w:val="nil"/>
              <w:left w:val="single" w:sz="4" w:space="0" w:color="auto"/>
              <w:bottom w:val="nil"/>
              <w:right w:val="nil"/>
            </w:tcBorders>
            <w:shd w:val="clear" w:color="000000" w:fill="C0C0C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 xml:space="preserve">Итого налог на прибыль </w:t>
            </w:r>
          </w:p>
        </w:tc>
        <w:tc>
          <w:tcPr>
            <w:tcW w:w="1476" w:type="dxa"/>
            <w:tcBorders>
              <w:top w:val="nil"/>
              <w:left w:val="single" w:sz="8" w:space="0" w:color="auto"/>
              <w:bottom w:val="nil"/>
              <w:right w:val="single" w:sz="8" w:space="0" w:color="auto"/>
            </w:tcBorders>
            <w:shd w:val="clear" w:color="000000" w:fill="C0C0C0"/>
            <w:noWrap/>
            <w:vAlign w:val="bottom"/>
            <w:hideMark/>
          </w:tcPr>
          <w:p w:rsidR="00972CEE" w:rsidRPr="00972CEE" w:rsidRDefault="00972CEE" w:rsidP="00972CEE">
            <w:pPr>
              <w:suppressAutoHyphens w:val="0"/>
              <w:jc w:val="center"/>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(6 630,0)</w:t>
            </w:r>
          </w:p>
        </w:tc>
      </w:tr>
      <w:tr w:rsidR="00972CEE" w:rsidRPr="00972CEE" w:rsidTr="00972CEE">
        <w:trPr>
          <w:trHeight w:val="188"/>
          <w:jc w:val="center"/>
        </w:trPr>
        <w:tc>
          <w:tcPr>
            <w:tcW w:w="7313" w:type="dxa"/>
            <w:tcBorders>
              <w:top w:val="nil"/>
              <w:left w:val="single" w:sz="4" w:space="0" w:color="auto"/>
              <w:bottom w:val="nil"/>
              <w:right w:val="nil"/>
            </w:tcBorders>
            <w:shd w:val="clear" w:color="auto" w:fill="auto"/>
            <w:noWrap/>
            <w:vAlign w:val="bottom"/>
            <w:hideMark/>
          </w:tcPr>
          <w:p w:rsidR="00972CEE" w:rsidRPr="00972CEE" w:rsidRDefault="00972CEE" w:rsidP="00972CEE">
            <w:pPr>
              <w:suppressAutoHyphens w:val="0"/>
              <w:rPr>
                <w:rFonts w:ascii="Arial CYR" w:hAnsi="Arial CYR" w:cs="Arial CYR"/>
                <w:sz w:val="20"/>
                <w:szCs w:val="20"/>
                <w:lang w:eastAsia="ru-RU"/>
              </w:rPr>
            </w:pPr>
          </w:p>
        </w:tc>
        <w:tc>
          <w:tcPr>
            <w:tcW w:w="1476" w:type="dxa"/>
            <w:tcBorders>
              <w:top w:val="nil"/>
              <w:left w:val="single" w:sz="8" w:space="0" w:color="auto"/>
              <w:bottom w:val="nil"/>
              <w:right w:val="single" w:sz="8" w:space="0" w:color="auto"/>
            </w:tcBorders>
            <w:shd w:val="clear" w:color="auto" w:fill="auto"/>
            <w:noWrap/>
            <w:vAlign w:val="bottom"/>
            <w:hideMark/>
          </w:tcPr>
          <w:p w:rsidR="00972CEE" w:rsidRPr="00972CEE" w:rsidRDefault="00972CEE" w:rsidP="00972CEE">
            <w:pPr>
              <w:suppressAutoHyphens w:val="0"/>
              <w:rPr>
                <w:rFonts w:ascii="Arial CYR" w:hAnsi="Arial CYR" w:cs="Arial CYR"/>
                <w:sz w:val="20"/>
                <w:szCs w:val="20"/>
                <w:lang w:eastAsia="ru-RU"/>
              </w:rPr>
            </w:pPr>
            <w:r w:rsidRPr="00972CEE">
              <w:rPr>
                <w:rFonts w:ascii="Arial CYR" w:hAnsi="Arial CYR" w:cs="Arial CYR"/>
                <w:sz w:val="20"/>
                <w:szCs w:val="20"/>
                <w:lang w:eastAsia="ru-RU"/>
              </w:rPr>
              <w:t> </w:t>
            </w:r>
          </w:p>
        </w:tc>
      </w:tr>
      <w:tr w:rsidR="00972CEE" w:rsidRPr="00972CEE" w:rsidTr="00972CEE">
        <w:trPr>
          <w:trHeight w:val="276"/>
          <w:jc w:val="center"/>
        </w:trPr>
        <w:tc>
          <w:tcPr>
            <w:tcW w:w="7313" w:type="dxa"/>
            <w:tcBorders>
              <w:top w:val="single" w:sz="4" w:space="0" w:color="auto"/>
              <w:left w:val="single" w:sz="4" w:space="0" w:color="auto"/>
              <w:bottom w:val="single" w:sz="4" w:space="0" w:color="auto"/>
              <w:right w:val="nil"/>
            </w:tcBorders>
            <w:shd w:val="clear" w:color="000000" w:fill="00000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Прибыль за период  /чистая прибыль/</w:t>
            </w:r>
          </w:p>
        </w:tc>
        <w:tc>
          <w:tcPr>
            <w:tcW w:w="1476" w:type="dxa"/>
            <w:tcBorders>
              <w:top w:val="single" w:sz="4" w:space="0" w:color="auto"/>
              <w:left w:val="single" w:sz="8" w:space="0" w:color="auto"/>
              <w:bottom w:val="single" w:sz="8" w:space="0" w:color="auto"/>
              <w:right w:val="single" w:sz="8" w:space="0" w:color="auto"/>
            </w:tcBorders>
            <w:shd w:val="clear" w:color="000000" w:fill="000000"/>
            <w:noWrap/>
            <w:vAlign w:val="bottom"/>
            <w:hideMark/>
          </w:tcPr>
          <w:p w:rsidR="00972CEE" w:rsidRPr="00972CEE" w:rsidRDefault="00972CEE" w:rsidP="00972CEE">
            <w:pPr>
              <w:suppressAutoHyphens w:val="0"/>
              <w:jc w:val="center"/>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44 192,0</w:t>
            </w:r>
          </w:p>
        </w:tc>
      </w:tr>
      <w:tr w:rsidR="00972CEE" w:rsidRPr="00972CEE" w:rsidTr="00972CEE">
        <w:trPr>
          <w:trHeight w:val="264"/>
          <w:jc w:val="center"/>
        </w:trPr>
        <w:tc>
          <w:tcPr>
            <w:tcW w:w="7313" w:type="dxa"/>
            <w:tcBorders>
              <w:top w:val="nil"/>
              <w:left w:val="single" w:sz="4" w:space="0" w:color="auto"/>
              <w:bottom w:val="single" w:sz="4" w:space="0" w:color="auto"/>
              <w:right w:val="nil"/>
            </w:tcBorders>
            <w:shd w:val="clear" w:color="000000" w:fill="CCFFFF"/>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color w:val="0000FF"/>
                <w:sz w:val="18"/>
                <w:szCs w:val="18"/>
                <w:lang w:eastAsia="ru-RU"/>
              </w:rPr>
            </w:pPr>
            <w:r w:rsidRPr="00972CEE">
              <w:rPr>
                <w:rFonts w:ascii="Times New Roman CYR" w:hAnsi="Times New Roman CYR" w:cs="Times New Roman CYR"/>
                <w:b/>
                <w:bCs/>
                <w:i/>
                <w:iCs/>
                <w:color w:val="0000FF"/>
                <w:sz w:val="18"/>
                <w:szCs w:val="18"/>
                <w:lang w:eastAsia="ru-RU"/>
              </w:rPr>
              <w:t>Маржа по чистой прибыли (</w:t>
            </w:r>
            <w:proofErr w:type="spellStart"/>
            <w:r w:rsidRPr="00972CEE">
              <w:rPr>
                <w:rFonts w:ascii="Times New Roman CYR" w:hAnsi="Times New Roman CYR" w:cs="Times New Roman CYR"/>
                <w:b/>
                <w:bCs/>
                <w:i/>
                <w:iCs/>
                <w:color w:val="0000FF"/>
                <w:sz w:val="18"/>
                <w:szCs w:val="18"/>
                <w:lang w:eastAsia="ru-RU"/>
              </w:rPr>
              <w:t>Net</w:t>
            </w:r>
            <w:proofErr w:type="spellEnd"/>
            <w:r w:rsidRPr="00972CEE">
              <w:rPr>
                <w:rFonts w:ascii="Times New Roman CYR" w:hAnsi="Times New Roman CYR" w:cs="Times New Roman CYR"/>
                <w:b/>
                <w:bCs/>
                <w:i/>
                <w:iCs/>
                <w:color w:val="0000FF"/>
                <w:sz w:val="18"/>
                <w:szCs w:val="18"/>
                <w:lang w:eastAsia="ru-RU"/>
              </w:rPr>
              <w:t xml:space="preserve"> </w:t>
            </w:r>
            <w:proofErr w:type="spellStart"/>
            <w:r w:rsidRPr="00972CEE">
              <w:rPr>
                <w:rFonts w:ascii="Times New Roman CYR" w:hAnsi="Times New Roman CYR" w:cs="Times New Roman CYR"/>
                <w:b/>
                <w:bCs/>
                <w:i/>
                <w:iCs/>
                <w:color w:val="0000FF"/>
                <w:sz w:val="18"/>
                <w:szCs w:val="18"/>
                <w:lang w:eastAsia="ru-RU"/>
              </w:rPr>
              <w:t>margin</w:t>
            </w:r>
            <w:proofErr w:type="spellEnd"/>
            <w:r w:rsidRPr="00972CEE">
              <w:rPr>
                <w:rFonts w:ascii="Times New Roman CYR" w:hAnsi="Times New Roman CYR" w:cs="Times New Roman CYR"/>
                <w:b/>
                <w:bCs/>
                <w:i/>
                <w:iCs/>
                <w:color w:val="0000FF"/>
                <w:sz w:val="18"/>
                <w:szCs w:val="18"/>
                <w:lang w:eastAsia="ru-RU"/>
              </w:rPr>
              <w:t>), %</w:t>
            </w:r>
          </w:p>
        </w:tc>
        <w:tc>
          <w:tcPr>
            <w:tcW w:w="1476" w:type="dxa"/>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972CEE" w:rsidRPr="00972CEE" w:rsidRDefault="00972CEE" w:rsidP="00972CEE">
            <w:pPr>
              <w:suppressAutoHyphens w:val="0"/>
              <w:jc w:val="center"/>
              <w:rPr>
                <w:rFonts w:ascii="Times New Roman CYR" w:hAnsi="Times New Roman CYR" w:cs="Times New Roman CYR"/>
                <w:b/>
                <w:bCs/>
                <w:i/>
                <w:iCs/>
                <w:color w:val="0000FF"/>
                <w:sz w:val="18"/>
                <w:szCs w:val="18"/>
                <w:lang w:eastAsia="ru-RU"/>
              </w:rPr>
            </w:pPr>
            <w:r w:rsidRPr="00972CEE">
              <w:rPr>
                <w:rFonts w:ascii="Times New Roman CYR" w:hAnsi="Times New Roman CYR" w:cs="Times New Roman CYR"/>
                <w:b/>
                <w:bCs/>
                <w:i/>
                <w:iCs/>
                <w:color w:val="0000FF"/>
                <w:sz w:val="18"/>
                <w:szCs w:val="18"/>
                <w:lang w:eastAsia="ru-RU"/>
              </w:rPr>
              <w:t>20,5%</w:t>
            </w:r>
          </w:p>
        </w:tc>
      </w:tr>
      <w:tr w:rsidR="00972CEE" w:rsidRPr="00972CEE" w:rsidTr="00972CEE">
        <w:trPr>
          <w:trHeight w:val="264"/>
          <w:jc w:val="center"/>
        </w:trPr>
        <w:tc>
          <w:tcPr>
            <w:tcW w:w="7313" w:type="dxa"/>
            <w:tcBorders>
              <w:top w:val="nil"/>
              <w:left w:val="single" w:sz="4" w:space="0" w:color="auto"/>
              <w:bottom w:val="nil"/>
              <w:right w:val="nil"/>
            </w:tcBorders>
            <w:shd w:val="clear" w:color="000000" w:fill="C0C0C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Прочий совокупный доход, за вычетом налога</w:t>
            </w:r>
          </w:p>
        </w:tc>
        <w:tc>
          <w:tcPr>
            <w:tcW w:w="1476" w:type="dxa"/>
            <w:tcBorders>
              <w:top w:val="nil"/>
              <w:left w:val="single" w:sz="8" w:space="0" w:color="auto"/>
              <w:bottom w:val="nil"/>
              <w:right w:val="single" w:sz="8" w:space="0" w:color="auto"/>
            </w:tcBorders>
            <w:shd w:val="clear" w:color="000000" w:fill="C0C0C0"/>
            <w:noWrap/>
            <w:vAlign w:val="bottom"/>
            <w:hideMark/>
          </w:tcPr>
          <w:p w:rsidR="00972CEE" w:rsidRPr="00972CEE" w:rsidRDefault="00972CEE" w:rsidP="00972CEE">
            <w:pPr>
              <w:suppressAutoHyphens w:val="0"/>
              <w:jc w:val="center"/>
              <w:rPr>
                <w:rFonts w:ascii="Times New Roman CYR" w:hAnsi="Times New Roman CYR" w:cs="Times New Roman CYR"/>
                <w:b/>
                <w:bCs/>
                <w:i/>
                <w:iCs/>
                <w:sz w:val="18"/>
                <w:szCs w:val="18"/>
                <w:lang w:eastAsia="ru-RU"/>
              </w:rPr>
            </w:pPr>
            <w:r w:rsidRPr="00972CEE">
              <w:rPr>
                <w:rFonts w:ascii="Times New Roman CYR" w:hAnsi="Times New Roman CYR" w:cs="Times New Roman CYR"/>
                <w:b/>
                <w:bCs/>
                <w:i/>
                <w:iCs/>
                <w:sz w:val="18"/>
                <w:szCs w:val="18"/>
                <w:lang w:eastAsia="ru-RU"/>
              </w:rPr>
              <w:t>38 515,0</w:t>
            </w:r>
          </w:p>
        </w:tc>
      </w:tr>
      <w:tr w:rsidR="00972CEE" w:rsidRPr="00972CEE" w:rsidTr="00972CEE">
        <w:trPr>
          <w:trHeight w:val="337"/>
          <w:jc w:val="center"/>
        </w:trPr>
        <w:tc>
          <w:tcPr>
            <w:tcW w:w="7313" w:type="dxa"/>
            <w:tcBorders>
              <w:top w:val="single" w:sz="4" w:space="0" w:color="auto"/>
              <w:left w:val="single" w:sz="4" w:space="0" w:color="auto"/>
              <w:bottom w:val="single" w:sz="8" w:space="0" w:color="auto"/>
              <w:right w:val="nil"/>
            </w:tcBorders>
            <w:shd w:val="clear" w:color="000000" w:fill="000000"/>
            <w:noWrap/>
            <w:vAlign w:val="bottom"/>
            <w:hideMark/>
          </w:tcPr>
          <w:p w:rsidR="00972CEE" w:rsidRPr="00972CEE" w:rsidRDefault="00972CEE" w:rsidP="00972CEE">
            <w:pPr>
              <w:suppressAutoHyphens w:val="0"/>
              <w:ind w:firstLineChars="100" w:firstLine="181"/>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Совокупный доход за период, итого</w:t>
            </w:r>
          </w:p>
        </w:tc>
        <w:tc>
          <w:tcPr>
            <w:tcW w:w="1476" w:type="dxa"/>
            <w:tcBorders>
              <w:top w:val="single" w:sz="4" w:space="0" w:color="auto"/>
              <w:left w:val="single" w:sz="8" w:space="0" w:color="auto"/>
              <w:bottom w:val="single" w:sz="8" w:space="0" w:color="auto"/>
              <w:right w:val="single" w:sz="8" w:space="0" w:color="auto"/>
            </w:tcBorders>
            <w:shd w:val="clear" w:color="000000" w:fill="000000"/>
            <w:noWrap/>
            <w:vAlign w:val="bottom"/>
            <w:hideMark/>
          </w:tcPr>
          <w:p w:rsidR="00972CEE" w:rsidRPr="00972CEE" w:rsidRDefault="00972CEE" w:rsidP="00972CEE">
            <w:pPr>
              <w:suppressAutoHyphens w:val="0"/>
              <w:jc w:val="center"/>
              <w:rPr>
                <w:rFonts w:ascii="Times New Roman CYR" w:hAnsi="Times New Roman CYR" w:cs="Times New Roman CYR"/>
                <w:b/>
                <w:bCs/>
                <w:color w:val="FFFFFF"/>
                <w:sz w:val="18"/>
                <w:szCs w:val="18"/>
                <w:lang w:eastAsia="ru-RU"/>
              </w:rPr>
            </w:pPr>
            <w:r w:rsidRPr="00972CEE">
              <w:rPr>
                <w:rFonts w:ascii="Times New Roman CYR" w:hAnsi="Times New Roman CYR" w:cs="Times New Roman CYR"/>
                <w:b/>
                <w:bCs/>
                <w:color w:val="FFFFFF"/>
                <w:sz w:val="18"/>
                <w:szCs w:val="18"/>
                <w:lang w:eastAsia="ru-RU"/>
              </w:rPr>
              <w:t>82 707,0</w:t>
            </w:r>
          </w:p>
        </w:tc>
      </w:tr>
    </w:tbl>
    <w:p w:rsidR="00972CEE" w:rsidRDefault="00972CEE" w:rsidP="00912923">
      <w:pPr>
        <w:spacing w:before="120" w:after="60"/>
        <w:ind w:right="-399"/>
        <w:jc w:val="both"/>
        <w:rPr>
          <w:sz w:val="22"/>
          <w:szCs w:val="22"/>
        </w:rPr>
      </w:pPr>
    </w:p>
    <w:p w:rsidR="00C30A62" w:rsidRPr="00B17773" w:rsidRDefault="00C30A62" w:rsidP="00C30A62">
      <w:pPr>
        <w:ind w:left="900" w:hanging="900"/>
        <w:jc w:val="both"/>
        <w:rPr>
          <w:b/>
          <w:sz w:val="22"/>
          <w:szCs w:val="22"/>
        </w:rPr>
      </w:pPr>
      <w:r w:rsidRPr="00B17773">
        <w:rPr>
          <w:b/>
          <w:sz w:val="22"/>
          <w:szCs w:val="22"/>
        </w:rPr>
        <w:t>Приложение II</w:t>
      </w:r>
    </w:p>
    <w:p w:rsidR="00C30A62" w:rsidRPr="00B17773" w:rsidRDefault="00C30A62" w:rsidP="00C30A62">
      <w:pPr>
        <w:ind w:left="1080" w:hanging="900"/>
        <w:jc w:val="both"/>
        <w:rPr>
          <w:b/>
          <w:sz w:val="22"/>
          <w:szCs w:val="22"/>
        </w:rPr>
      </w:pPr>
    </w:p>
    <w:p w:rsidR="003607F8" w:rsidRPr="00766F4F" w:rsidRDefault="00C30A62" w:rsidP="00A82EDF">
      <w:pPr>
        <w:ind w:right="-115"/>
        <w:jc w:val="both"/>
        <w:outlineLvl w:val="0"/>
        <w:rPr>
          <w:sz w:val="22"/>
        </w:rPr>
      </w:pPr>
      <w:r w:rsidRPr="00FC421B">
        <w:rPr>
          <w:sz w:val="22"/>
        </w:rPr>
        <w:t>Сокращенный консолидированный отчет о финансов</w:t>
      </w:r>
      <w:r>
        <w:rPr>
          <w:sz w:val="22"/>
        </w:rPr>
        <w:t>ом положении</w:t>
      </w:r>
      <w:r w:rsidRPr="00FC421B">
        <w:rPr>
          <w:sz w:val="22"/>
        </w:rPr>
        <w:t xml:space="preserve"> на 3</w:t>
      </w:r>
      <w:r w:rsidR="00766F4F">
        <w:rPr>
          <w:sz w:val="22"/>
        </w:rPr>
        <w:t>0</w:t>
      </w:r>
      <w:r w:rsidRPr="00FC421B">
        <w:rPr>
          <w:sz w:val="22"/>
        </w:rPr>
        <w:t xml:space="preserve"> </w:t>
      </w:r>
      <w:r w:rsidR="00766F4F">
        <w:rPr>
          <w:sz w:val="22"/>
        </w:rPr>
        <w:t>июня</w:t>
      </w:r>
      <w:r w:rsidRPr="00FC421B">
        <w:rPr>
          <w:sz w:val="22"/>
        </w:rPr>
        <w:t xml:space="preserve"> 20</w:t>
      </w:r>
      <w:r w:rsidR="00766F4F">
        <w:rPr>
          <w:sz w:val="22"/>
        </w:rPr>
        <w:t>13 года и 31 декабря 2012</w:t>
      </w:r>
      <w:r w:rsidRPr="00FC421B">
        <w:rPr>
          <w:sz w:val="22"/>
        </w:rPr>
        <w:t xml:space="preserve"> года, в </w:t>
      </w:r>
      <w:r>
        <w:rPr>
          <w:sz w:val="22"/>
        </w:rPr>
        <w:t>тыс. рублей</w:t>
      </w:r>
    </w:p>
    <w:p w:rsidR="00900B4A" w:rsidRPr="00766F4F" w:rsidRDefault="00900B4A" w:rsidP="00CE1BBA">
      <w:pPr>
        <w:ind w:right="-257"/>
        <w:outlineLvl w:val="0"/>
        <w:rPr>
          <w:sz w:val="22"/>
        </w:rPr>
      </w:pPr>
    </w:p>
    <w:tbl>
      <w:tblPr>
        <w:tblW w:w="9789" w:type="dxa"/>
        <w:tblInd w:w="93" w:type="dxa"/>
        <w:tblLook w:val="04A0" w:firstRow="1" w:lastRow="0" w:firstColumn="1" w:lastColumn="0" w:noHBand="0" w:noVBand="1"/>
      </w:tblPr>
      <w:tblGrid>
        <w:gridCol w:w="4906"/>
        <w:gridCol w:w="1524"/>
        <w:gridCol w:w="1949"/>
        <w:gridCol w:w="1410"/>
      </w:tblGrid>
      <w:tr w:rsidR="00E94DFC" w:rsidRPr="00E94DFC" w:rsidTr="0089707A">
        <w:trPr>
          <w:trHeight w:val="819"/>
        </w:trPr>
        <w:tc>
          <w:tcPr>
            <w:tcW w:w="4906" w:type="dxa"/>
            <w:tcBorders>
              <w:top w:val="single" w:sz="8" w:space="0" w:color="auto"/>
              <w:left w:val="single" w:sz="8" w:space="0" w:color="auto"/>
              <w:bottom w:val="single" w:sz="8" w:space="0" w:color="auto"/>
              <w:right w:val="nil"/>
            </w:tcBorders>
            <w:shd w:val="clear" w:color="auto" w:fill="auto"/>
            <w:noWrap/>
            <w:vAlign w:val="bottom"/>
            <w:hideMark/>
          </w:tcPr>
          <w:p w:rsidR="00E94DFC" w:rsidRPr="00E94DFC" w:rsidRDefault="00E94DFC" w:rsidP="00E94DFC">
            <w:pPr>
              <w:suppressAutoHyphens w:val="0"/>
              <w:rPr>
                <w:b/>
                <w:bCs/>
                <w:sz w:val="20"/>
                <w:szCs w:val="20"/>
                <w:lang w:eastAsia="ru-RU"/>
              </w:rPr>
            </w:pPr>
            <w:r w:rsidRPr="00E94DFC">
              <w:rPr>
                <w:b/>
                <w:bCs/>
                <w:sz w:val="20"/>
                <w:szCs w:val="20"/>
                <w:lang w:eastAsia="ru-RU"/>
              </w:rPr>
              <w:t xml:space="preserve">  Тыс. руб.</w:t>
            </w:r>
          </w:p>
        </w:tc>
        <w:tc>
          <w:tcPr>
            <w:tcW w:w="15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b/>
                <w:bCs/>
                <w:sz w:val="20"/>
                <w:szCs w:val="20"/>
                <w:lang w:eastAsia="ru-RU"/>
              </w:rPr>
            </w:pPr>
            <w:r w:rsidRPr="00E94DFC">
              <w:rPr>
                <w:b/>
                <w:bCs/>
                <w:sz w:val="20"/>
                <w:szCs w:val="20"/>
                <w:lang w:eastAsia="ru-RU"/>
              </w:rPr>
              <w:t>30.06.2013 г.</w:t>
            </w:r>
          </w:p>
        </w:tc>
        <w:tc>
          <w:tcPr>
            <w:tcW w:w="1949" w:type="dxa"/>
            <w:tcBorders>
              <w:top w:val="single" w:sz="8" w:space="0" w:color="auto"/>
              <w:left w:val="nil"/>
              <w:bottom w:val="single" w:sz="8" w:space="0" w:color="auto"/>
              <w:right w:val="single" w:sz="8" w:space="0" w:color="auto"/>
            </w:tcBorders>
            <w:shd w:val="clear" w:color="auto" w:fill="auto"/>
            <w:vAlign w:val="bottom"/>
            <w:hideMark/>
          </w:tcPr>
          <w:p w:rsidR="00E94DFC" w:rsidRPr="00E94DFC" w:rsidRDefault="00E94DFC" w:rsidP="00E94DFC">
            <w:pPr>
              <w:suppressAutoHyphens w:val="0"/>
              <w:jc w:val="center"/>
              <w:rPr>
                <w:b/>
                <w:bCs/>
                <w:sz w:val="20"/>
                <w:szCs w:val="20"/>
                <w:lang w:eastAsia="ru-RU"/>
              </w:rPr>
            </w:pPr>
            <w:r w:rsidRPr="00E94DFC">
              <w:rPr>
                <w:b/>
                <w:bCs/>
                <w:sz w:val="20"/>
                <w:szCs w:val="20"/>
                <w:lang w:eastAsia="ru-RU"/>
              </w:rPr>
              <w:t xml:space="preserve">31.12.2012 </w:t>
            </w:r>
            <w:r>
              <w:rPr>
                <w:b/>
                <w:bCs/>
                <w:sz w:val="20"/>
                <w:szCs w:val="20"/>
                <w:lang w:eastAsia="ru-RU"/>
              </w:rPr>
              <w:t>г.</w:t>
            </w:r>
            <w:r w:rsidRPr="00E94DFC">
              <w:rPr>
                <w:b/>
                <w:bCs/>
                <w:sz w:val="20"/>
                <w:szCs w:val="20"/>
                <w:lang w:eastAsia="ru-RU"/>
              </w:rPr>
              <w:br/>
              <w:t>(с учетом корректировки</w:t>
            </w:r>
            <w:r>
              <w:rPr>
                <w:b/>
                <w:bCs/>
                <w:sz w:val="20"/>
                <w:szCs w:val="20"/>
                <w:lang w:eastAsia="ru-RU"/>
              </w:rPr>
              <w:t>*)</w:t>
            </w:r>
          </w:p>
        </w:tc>
        <w:tc>
          <w:tcPr>
            <w:tcW w:w="1410" w:type="dxa"/>
            <w:tcBorders>
              <w:top w:val="single" w:sz="8" w:space="0" w:color="auto"/>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b/>
                <w:bCs/>
                <w:i/>
                <w:iCs/>
                <w:sz w:val="20"/>
                <w:szCs w:val="20"/>
                <w:lang w:eastAsia="ru-RU"/>
              </w:rPr>
            </w:pPr>
            <w:r w:rsidRPr="00E94DFC">
              <w:rPr>
                <w:b/>
                <w:bCs/>
                <w:i/>
                <w:iCs/>
                <w:sz w:val="20"/>
                <w:szCs w:val="20"/>
                <w:lang w:eastAsia="ru-RU"/>
              </w:rPr>
              <w:t>% изменения</w:t>
            </w:r>
          </w:p>
        </w:tc>
      </w:tr>
      <w:tr w:rsidR="00E94DFC" w:rsidRPr="00E94DFC" w:rsidTr="00E94DFC">
        <w:trPr>
          <w:trHeight w:val="360"/>
        </w:trPr>
        <w:tc>
          <w:tcPr>
            <w:tcW w:w="4906" w:type="dxa"/>
            <w:tcBorders>
              <w:top w:val="nil"/>
              <w:left w:val="single" w:sz="8" w:space="0" w:color="auto"/>
              <w:bottom w:val="single" w:sz="8" w:space="0" w:color="auto"/>
              <w:right w:val="nil"/>
            </w:tcBorders>
            <w:shd w:val="clear" w:color="auto" w:fill="auto"/>
            <w:noWrap/>
            <w:vAlign w:val="bottom"/>
            <w:hideMark/>
          </w:tcPr>
          <w:p w:rsidR="00E94DFC" w:rsidRPr="00E94DFC" w:rsidRDefault="00E94DFC" w:rsidP="00E94DFC">
            <w:pPr>
              <w:suppressAutoHyphens w:val="0"/>
              <w:rPr>
                <w:b/>
                <w:bCs/>
                <w:i/>
                <w:iCs/>
                <w:sz w:val="20"/>
                <w:szCs w:val="20"/>
                <w:lang w:eastAsia="ru-RU"/>
              </w:rPr>
            </w:pPr>
            <w:r w:rsidRPr="00E94DFC">
              <w:rPr>
                <w:b/>
                <w:bCs/>
                <w:i/>
                <w:iCs/>
                <w:sz w:val="20"/>
                <w:szCs w:val="20"/>
                <w:lang w:eastAsia="ru-RU"/>
              </w:rPr>
              <w:t xml:space="preserve">  АКТИВЫ</w:t>
            </w:r>
          </w:p>
        </w:tc>
        <w:tc>
          <w:tcPr>
            <w:tcW w:w="1524" w:type="dxa"/>
            <w:tcBorders>
              <w:top w:val="nil"/>
              <w:left w:val="single" w:sz="8" w:space="0" w:color="auto"/>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w:t>
            </w:r>
          </w:p>
        </w:tc>
        <w:tc>
          <w:tcPr>
            <w:tcW w:w="1949" w:type="dxa"/>
            <w:tcBorders>
              <w:top w:val="nil"/>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w:t>
            </w:r>
          </w:p>
        </w:tc>
        <w:tc>
          <w:tcPr>
            <w:tcW w:w="1410" w:type="dxa"/>
            <w:tcBorders>
              <w:top w:val="nil"/>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rPr>
                <w:i/>
                <w:iCs/>
                <w:sz w:val="20"/>
                <w:szCs w:val="20"/>
                <w:lang w:eastAsia="ru-RU"/>
              </w:rPr>
            </w:pPr>
            <w:r w:rsidRPr="00E94DFC">
              <w:rPr>
                <w:i/>
                <w:iCs/>
                <w:sz w:val="20"/>
                <w:szCs w:val="20"/>
                <w:lang w:eastAsia="ru-RU"/>
              </w:rPr>
              <w:t> </w:t>
            </w:r>
          </w:p>
        </w:tc>
      </w:tr>
      <w:tr w:rsidR="00E94DFC" w:rsidRPr="00E94DFC" w:rsidTr="00E94DFC">
        <w:trPr>
          <w:trHeight w:val="36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w:t>
            </w:r>
            <w:proofErr w:type="spellStart"/>
            <w:r w:rsidRPr="00E94DFC">
              <w:rPr>
                <w:b/>
                <w:bCs/>
                <w:sz w:val="20"/>
                <w:szCs w:val="20"/>
                <w:lang w:eastAsia="ru-RU"/>
              </w:rPr>
              <w:t>Внеоборотные</w:t>
            </w:r>
            <w:proofErr w:type="spellEnd"/>
            <w:r w:rsidRPr="00E94DFC">
              <w:rPr>
                <w:b/>
                <w:bCs/>
                <w:sz w:val="20"/>
                <w:szCs w:val="20"/>
                <w:lang w:eastAsia="ru-RU"/>
              </w:rPr>
              <w:t xml:space="preserve"> активы, в </w:t>
            </w:r>
            <w:proofErr w:type="spellStart"/>
            <w:r w:rsidRPr="00E94DFC">
              <w:rPr>
                <w:b/>
                <w:bCs/>
                <w:sz w:val="20"/>
                <w:szCs w:val="20"/>
                <w:lang w:eastAsia="ru-RU"/>
              </w:rPr>
              <w:t>т.ч</w:t>
            </w:r>
            <w:proofErr w:type="spellEnd"/>
            <w:r w:rsidRPr="00E94DFC">
              <w:rPr>
                <w:b/>
                <w:bCs/>
                <w:sz w:val="20"/>
                <w:szCs w:val="20"/>
                <w:lang w:eastAsia="ru-RU"/>
              </w:rPr>
              <w:t>.:</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150B0B" w:rsidP="00E94DFC">
            <w:pPr>
              <w:suppressAutoHyphens w:val="0"/>
              <w:jc w:val="center"/>
              <w:rPr>
                <w:rFonts w:ascii="Times New Roman CYR" w:hAnsi="Times New Roman CYR" w:cs="Times New Roman CYR"/>
                <w:b/>
                <w:bCs/>
                <w:sz w:val="20"/>
                <w:szCs w:val="20"/>
                <w:lang w:eastAsia="ru-RU"/>
              </w:rPr>
            </w:pPr>
            <w:r>
              <w:rPr>
                <w:rFonts w:ascii="Times New Roman CYR" w:hAnsi="Times New Roman CYR" w:cs="Times New Roman CYR"/>
                <w:b/>
                <w:bCs/>
                <w:sz w:val="20"/>
                <w:szCs w:val="20"/>
                <w:lang w:eastAsia="ru-RU"/>
              </w:rPr>
              <w:t>1 012 150</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932</w:t>
            </w:r>
            <w:r w:rsidRPr="0089707A">
              <w:rPr>
                <w:rFonts w:ascii="Times New Roman CYR" w:hAnsi="Times New Roman CYR" w:cs="Times New Roman CYR"/>
                <w:b/>
                <w:bCs/>
                <w:sz w:val="20"/>
                <w:szCs w:val="20"/>
                <w:lang w:eastAsia="ru-RU"/>
              </w:rPr>
              <w:t> </w:t>
            </w:r>
            <w:r w:rsidRPr="00E94DFC">
              <w:rPr>
                <w:rFonts w:ascii="Times New Roman CYR" w:hAnsi="Times New Roman CYR" w:cs="Times New Roman CYR"/>
                <w:b/>
                <w:bCs/>
                <w:sz w:val="20"/>
                <w:szCs w:val="20"/>
                <w:lang w:eastAsia="ru-RU"/>
              </w:rPr>
              <w:t>822</w:t>
            </w:r>
            <w:r w:rsidRPr="0089707A">
              <w:rPr>
                <w:rFonts w:ascii="Times New Roman CYR" w:hAnsi="Times New Roman CYR" w:cs="Times New Roman CYR"/>
                <w:b/>
                <w:bCs/>
                <w:sz w:val="20"/>
                <w:szCs w:val="20"/>
                <w:lang w:eastAsia="ru-RU"/>
              </w:rPr>
              <w:t>*</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150B0B" w:rsidP="00E94DFC">
            <w:pPr>
              <w:suppressAutoHyphens w:val="0"/>
              <w:jc w:val="center"/>
              <w:rPr>
                <w:rFonts w:ascii="Times New Roman CYR" w:hAnsi="Times New Roman CYR" w:cs="Times New Roman CYR"/>
                <w:b/>
                <w:bCs/>
                <w:i/>
                <w:iCs/>
                <w:sz w:val="20"/>
                <w:szCs w:val="20"/>
                <w:lang w:eastAsia="ru-RU"/>
              </w:rPr>
            </w:pPr>
            <w:r>
              <w:rPr>
                <w:rFonts w:ascii="Times New Roman CYR" w:hAnsi="Times New Roman CYR" w:cs="Times New Roman CYR"/>
                <w:b/>
                <w:bCs/>
                <w:i/>
                <w:iCs/>
                <w:sz w:val="20"/>
                <w:szCs w:val="20"/>
                <w:lang w:eastAsia="ru-RU"/>
              </w:rPr>
              <w:t>8,5</w:t>
            </w:r>
            <w:r w:rsidR="00E94DFC" w:rsidRPr="00E94DFC">
              <w:rPr>
                <w:rFonts w:ascii="Times New Roman CYR" w:hAnsi="Times New Roman CYR" w:cs="Times New Roman CYR"/>
                <w:b/>
                <w:bCs/>
                <w:i/>
                <w:iCs/>
                <w:sz w:val="20"/>
                <w:szCs w:val="20"/>
                <w:lang w:eastAsia="ru-RU"/>
              </w:rPr>
              <w:t>%</w:t>
            </w:r>
          </w:p>
        </w:tc>
      </w:tr>
      <w:tr w:rsidR="00E94DFC" w:rsidRPr="00E94DFC" w:rsidTr="00E94DFC">
        <w:trPr>
          <w:trHeight w:val="27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Основные средства</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111 352</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66 163</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68,3%</w:t>
            </w:r>
          </w:p>
        </w:tc>
      </w:tr>
      <w:tr w:rsidR="00E94DFC" w:rsidRPr="00E94DFC" w:rsidTr="00E94DFC">
        <w:trPr>
          <w:trHeight w:val="27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Нематериальные активы</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93 182</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48 497</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92,1%</w:t>
            </w:r>
          </w:p>
        </w:tc>
      </w:tr>
      <w:tr w:rsidR="00E94DFC" w:rsidRPr="00E94DFC" w:rsidTr="00E94DFC">
        <w:trPr>
          <w:trHeight w:val="27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Инвестиции в ассоциированные компании</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150B0B" w:rsidP="00E94DFC">
            <w:pPr>
              <w:suppressAutoHyphens w:val="0"/>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758 737</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748</w:t>
            </w:r>
            <w:r w:rsidRPr="0089707A">
              <w:rPr>
                <w:rFonts w:ascii="Times New Roman CYR" w:hAnsi="Times New Roman CYR" w:cs="Times New Roman CYR"/>
                <w:sz w:val="20"/>
                <w:szCs w:val="20"/>
                <w:lang w:eastAsia="ru-RU"/>
              </w:rPr>
              <w:t> </w:t>
            </w:r>
            <w:r w:rsidRPr="00E94DFC">
              <w:rPr>
                <w:rFonts w:ascii="Times New Roman CYR" w:hAnsi="Times New Roman CYR" w:cs="Times New Roman CYR"/>
                <w:sz w:val="20"/>
                <w:szCs w:val="20"/>
                <w:lang w:eastAsia="ru-RU"/>
              </w:rPr>
              <w:t>130</w:t>
            </w:r>
            <w:r w:rsidRPr="0089707A">
              <w:rPr>
                <w:rFonts w:ascii="Times New Roman CYR" w:hAnsi="Times New Roman CYR" w:cs="Times New Roman CYR"/>
                <w:sz w:val="20"/>
                <w:szCs w:val="20"/>
                <w:lang w:eastAsia="ru-RU"/>
              </w:rPr>
              <w:t>*</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150B0B" w:rsidP="00E94DFC">
            <w:pPr>
              <w:suppressAutoHyphens w:val="0"/>
              <w:jc w:val="center"/>
              <w:rPr>
                <w:rFonts w:ascii="Times New Roman CYR" w:hAnsi="Times New Roman CYR" w:cs="Times New Roman CYR"/>
                <w:i/>
                <w:iCs/>
                <w:sz w:val="20"/>
                <w:szCs w:val="20"/>
                <w:lang w:eastAsia="ru-RU"/>
              </w:rPr>
            </w:pPr>
            <w:r>
              <w:rPr>
                <w:rFonts w:ascii="Times New Roman CYR" w:hAnsi="Times New Roman CYR" w:cs="Times New Roman CYR"/>
                <w:i/>
                <w:iCs/>
                <w:sz w:val="20"/>
                <w:szCs w:val="20"/>
                <w:lang w:eastAsia="ru-RU"/>
              </w:rPr>
              <w:t>1,4</w:t>
            </w:r>
            <w:r w:rsidR="00E94DFC" w:rsidRPr="00E94DFC">
              <w:rPr>
                <w:rFonts w:ascii="Times New Roman CYR" w:hAnsi="Times New Roman CYR" w:cs="Times New Roman CYR"/>
                <w:i/>
                <w:iCs/>
                <w:sz w:val="20"/>
                <w:szCs w:val="20"/>
                <w:lang w:eastAsia="ru-RU"/>
              </w:rPr>
              <w:t>%</w:t>
            </w:r>
          </w:p>
        </w:tc>
      </w:tr>
      <w:tr w:rsidR="00E94DFC" w:rsidRPr="00E94DFC" w:rsidTr="00E94DFC">
        <w:trPr>
          <w:trHeight w:val="27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Прочие инвестиции</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37 810</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56 889</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-33,5%</w:t>
            </w:r>
          </w:p>
        </w:tc>
      </w:tr>
      <w:tr w:rsidR="00E94DFC" w:rsidRPr="00E94DFC" w:rsidTr="00E94DFC">
        <w:trPr>
          <w:trHeight w:val="345"/>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w:t>
            </w:r>
            <w:r w:rsidRPr="00E94DFC">
              <w:rPr>
                <w:b/>
                <w:bCs/>
                <w:sz w:val="20"/>
                <w:szCs w:val="20"/>
                <w:lang w:eastAsia="ru-RU"/>
              </w:rPr>
              <w:t xml:space="preserve">Оборотные активы, в </w:t>
            </w:r>
            <w:proofErr w:type="spellStart"/>
            <w:r w:rsidRPr="00E94DFC">
              <w:rPr>
                <w:b/>
                <w:bCs/>
                <w:sz w:val="20"/>
                <w:szCs w:val="20"/>
                <w:lang w:eastAsia="ru-RU"/>
              </w:rPr>
              <w:t>т.ч</w:t>
            </w:r>
            <w:proofErr w:type="spellEnd"/>
            <w:r w:rsidRPr="00E94DFC">
              <w:rPr>
                <w:b/>
                <w:bCs/>
                <w:sz w:val="20"/>
                <w:szCs w:val="20"/>
                <w:lang w:eastAsia="ru-RU"/>
              </w:rPr>
              <w:t>.:</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159 896</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166 060</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i/>
                <w:iCs/>
                <w:sz w:val="20"/>
                <w:szCs w:val="20"/>
                <w:lang w:eastAsia="ru-RU"/>
              </w:rPr>
            </w:pPr>
            <w:r w:rsidRPr="00E94DFC">
              <w:rPr>
                <w:rFonts w:ascii="Times New Roman CYR" w:hAnsi="Times New Roman CYR" w:cs="Times New Roman CYR"/>
                <w:b/>
                <w:bCs/>
                <w:i/>
                <w:iCs/>
                <w:sz w:val="20"/>
                <w:szCs w:val="20"/>
                <w:lang w:eastAsia="ru-RU"/>
              </w:rPr>
              <w:t>-3,7%</w:t>
            </w:r>
          </w:p>
        </w:tc>
      </w:tr>
      <w:tr w:rsidR="00E94DFC" w:rsidRPr="00E94DFC" w:rsidTr="00E94DFC">
        <w:trPr>
          <w:trHeight w:val="278"/>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Дебиторская задолженность и авансы выданные</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81 902</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109 406</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-25,1%</w:t>
            </w:r>
          </w:p>
        </w:tc>
      </w:tr>
      <w:tr w:rsidR="00E94DFC" w:rsidRPr="00E94DFC" w:rsidTr="00E94DFC">
        <w:trPr>
          <w:trHeight w:val="27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Краткосрочные займы выданные</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24 390</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13 101</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86,2%</w:t>
            </w:r>
          </w:p>
        </w:tc>
      </w:tr>
      <w:tr w:rsidR="00E94DFC" w:rsidRPr="00E94DFC" w:rsidTr="00E94DFC">
        <w:trPr>
          <w:trHeight w:val="300"/>
        </w:trPr>
        <w:tc>
          <w:tcPr>
            <w:tcW w:w="4906" w:type="dxa"/>
            <w:tcBorders>
              <w:top w:val="nil"/>
              <w:left w:val="single" w:sz="8" w:space="0" w:color="auto"/>
              <w:bottom w:val="single" w:sz="8" w:space="0" w:color="auto"/>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Денежные средств и их эквиваленты</w:t>
            </w:r>
          </w:p>
        </w:tc>
        <w:tc>
          <w:tcPr>
            <w:tcW w:w="1524" w:type="dxa"/>
            <w:tcBorders>
              <w:top w:val="nil"/>
              <w:left w:val="single" w:sz="8" w:space="0" w:color="auto"/>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34 012</w:t>
            </w:r>
          </w:p>
        </w:tc>
        <w:tc>
          <w:tcPr>
            <w:tcW w:w="1949" w:type="dxa"/>
            <w:tcBorders>
              <w:top w:val="nil"/>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26 671</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27,5%</w:t>
            </w:r>
          </w:p>
        </w:tc>
      </w:tr>
      <w:tr w:rsidR="00E94DFC" w:rsidRPr="00E94DFC" w:rsidTr="00C61D4D">
        <w:trPr>
          <w:trHeight w:val="491"/>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2"/>
                <w:szCs w:val="22"/>
                <w:lang w:eastAsia="ru-RU"/>
              </w:rPr>
            </w:pPr>
            <w:r w:rsidRPr="00E94DFC">
              <w:rPr>
                <w:sz w:val="22"/>
                <w:szCs w:val="22"/>
                <w:lang w:eastAsia="ru-RU"/>
              </w:rPr>
              <w:t xml:space="preserve">  </w:t>
            </w:r>
            <w:r w:rsidRPr="00E94DFC">
              <w:rPr>
                <w:b/>
                <w:bCs/>
                <w:sz w:val="22"/>
                <w:szCs w:val="22"/>
                <w:lang w:eastAsia="ru-RU"/>
              </w:rPr>
              <w:t>Итого активы</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6105F1">
            <w:pPr>
              <w:suppressAutoHyphens w:val="0"/>
              <w:jc w:val="center"/>
              <w:rPr>
                <w:rFonts w:ascii="Times New Roman CYR" w:hAnsi="Times New Roman CYR" w:cs="Times New Roman CYR"/>
                <w:b/>
                <w:bCs/>
                <w:sz w:val="22"/>
                <w:szCs w:val="22"/>
                <w:lang w:eastAsia="ru-RU"/>
              </w:rPr>
            </w:pPr>
            <w:r w:rsidRPr="00E94DFC">
              <w:rPr>
                <w:rFonts w:ascii="Times New Roman CYR" w:hAnsi="Times New Roman CYR" w:cs="Times New Roman CYR"/>
                <w:b/>
                <w:bCs/>
                <w:sz w:val="22"/>
                <w:szCs w:val="22"/>
                <w:lang w:eastAsia="ru-RU"/>
              </w:rPr>
              <w:t>1</w:t>
            </w:r>
            <w:r w:rsidR="006105F1">
              <w:rPr>
                <w:rFonts w:ascii="Times New Roman CYR" w:hAnsi="Times New Roman CYR" w:cs="Times New Roman CYR"/>
                <w:b/>
                <w:bCs/>
                <w:sz w:val="22"/>
                <w:szCs w:val="22"/>
                <w:lang w:eastAsia="ru-RU"/>
              </w:rPr>
              <w:t> 172 046</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2"/>
                <w:szCs w:val="22"/>
                <w:lang w:eastAsia="ru-RU"/>
              </w:rPr>
            </w:pPr>
            <w:r w:rsidRPr="00E94DFC">
              <w:rPr>
                <w:rFonts w:ascii="Times New Roman CYR" w:hAnsi="Times New Roman CYR" w:cs="Times New Roman CYR"/>
                <w:b/>
                <w:bCs/>
                <w:sz w:val="22"/>
                <w:szCs w:val="22"/>
                <w:lang w:eastAsia="ru-RU"/>
              </w:rPr>
              <w:t>1 098</w:t>
            </w:r>
            <w:r w:rsidRPr="0089707A">
              <w:rPr>
                <w:rFonts w:ascii="Times New Roman CYR" w:hAnsi="Times New Roman CYR" w:cs="Times New Roman CYR"/>
                <w:b/>
                <w:bCs/>
                <w:sz w:val="22"/>
                <w:szCs w:val="22"/>
                <w:lang w:eastAsia="ru-RU"/>
              </w:rPr>
              <w:t> </w:t>
            </w:r>
            <w:r w:rsidRPr="00E94DFC">
              <w:rPr>
                <w:rFonts w:ascii="Times New Roman CYR" w:hAnsi="Times New Roman CYR" w:cs="Times New Roman CYR"/>
                <w:b/>
                <w:bCs/>
                <w:sz w:val="22"/>
                <w:szCs w:val="22"/>
                <w:lang w:eastAsia="ru-RU"/>
              </w:rPr>
              <w:t>882</w:t>
            </w:r>
            <w:r w:rsidRPr="0089707A">
              <w:rPr>
                <w:rFonts w:ascii="Times New Roman CYR" w:hAnsi="Times New Roman CYR" w:cs="Times New Roman CYR"/>
                <w:b/>
                <w:bCs/>
                <w:sz w:val="22"/>
                <w:szCs w:val="22"/>
                <w:lang w:eastAsia="ru-RU"/>
              </w:rPr>
              <w:t>*</w:t>
            </w:r>
          </w:p>
        </w:tc>
        <w:tc>
          <w:tcPr>
            <w:tcW w:w="1410" w:type="dxa"/>
            <w:tcBorders>
              <w:top w:val="single" w:sz="8" w:space="0" w:color="auto"/>
              <w:left w:val="nil"/>
              <w:bottom w:val="single" w:sz="8" w:space="0" w:color="auto"/>
              <w:right w:val="single" w:sz="8" w:space="0" w:color="auto"/>
            </w:tcBorders>
            <w:shd w:val="clear" w:color="auto" w:fill="auto"/>
            <w:noWrap/>
            <w:vAlign w:val="bottom"/>
            <w:hideMark/>
          </w:tcPr>
          <w:p w:rsidR="00E94DFC" w:rsidRPr="00E94DFC" w:rsidRDefault="00793576" w:rsidP="00E94DFC">
            <w:pPr>
              <w:suppressAutoHyphens w:val="0"/>
              <w:jc w:val="center"/>
              <w:rPr>
                <w:rFonts w:ascii="Times New Roman CYR" w:hAnsi="Times New Roman CYR" w:cs="Times New Roman CYR"/>
                <w:b/>
                <w:bCs/>
                <w:i/>
                <w:iCs/>
                <w:sz w:val="22"/>
                <w:szCs w:val="22"/>
                <w:lang w:eastAsia="ru-RU"/>
              </w:rPr>
            </w:pPr>
            <w:r>
              <w:rPr>
                <w:rFonts w:ascii="Times New Roman CYR" w:hAnsi="Times New Roman CYR" w:cs="Times New Roman CYR"/>
                <w:b/>
                <w:bCs/>
                <w:i/>
                <w:iCs/>
                <w:sz w:val="22"/>
                <w:szCs w:val="22"/>
                <w:lang w:eastAsia="ru-RU"/>
              </w:rPr>
              <w:t>6,7</w:t>
            </w:r>
            <w:r w:rsidR="00E94DFC" w:rsidRPr="00E94DFC">
              <w:rPr>
                <w:rFonts w:ascii="Times New Roman CYR" w:hAnsi="Times New Roman CYR" w:cs="Times New Roman CYR"/>
                <w:b/>
                <w:bCs/>
                <w:i/>
                <w:iCs/>
                <w:sz w:val="22"/>
                <w:szCs w:val="22"/>
                <w:lang w:eastAsia="ru-RU"/>
              </w:rPr>
              <w:t>%</w:t>
            </w:r>
          </w:p>
        </w:tc>
      </w:tr>
      <w:tr w:rsidR="00E94DFC" w:rsidRPr="00E94DFC" w:rsidTr="00E94DFC">
        <w:trPr>
          <w:trHeight w:val="240"/>
        </w:trPr>
        <w:tc>
          <w:tcPr>
            <w:tcW w:w="4906" w:type="dxa"/>
            <w:tcBorders>
              <w:top w:val="single" w:sz="8" w:space="0" w:color="auto"/>
              <w:left w:val="single" w:sz="8" w:space="0" w:color="auto"/>
              <w:bottom w:val="single" w:sz="8" w:space="0" w:color="auto"/>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w:t>
            </w:r>
          </w:p>
        </w:tc>
        <w:tc>
          <w:tcPr>
            <w:tcW w:w="1524" w:type="dxa"/>
            <w:tcBorders>
              <w:top w:val="single" w:sz="8" w:space="0" w:color="auto"/>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 </w:t>
            </w:r>
          </w:p>
        </w:tc>
        <w:tc>
          <w:tcPr>
            <w:tcW w:w="1949" w:type="dxa"/>
            <w:tcBorders>
              <w:top w:val="single" w:sz="8" w:space="0" w:color="auto"/>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 </w:t>
            </w:r>
          </w:p>
        </w:tc>
        <w:tc>
          <w:tcPr>
            <w:tcW w:w="1410" w:type="dxa"/>
            <w:tcBorders>
              <w:top w:val="nil"/>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rPr>
                <w:i/>
                <w:iCs/>
                <w:sz w:val="20"/>
                <w:szCs w:val="20"/>
                <w:lang w:eastAsia="ru-RU"/>
              </w:rPr>
            </w:pPr>
            <w:r w:rsidRPr="00E94DFC">
              <w:rPr>
                <w:i/>
                <w:iCs/>
                <w:sz w:val="20"/>
                <w:szCs w:val="20"/>
                <w:lang w:eastAsia="ru-RU"/>
              </w:rPr>
              <w:t> </w:t>
            </w:r>
          </w:p>
        </w:tc>
      </w:tr>
      <w:tr w:rsidR="00E94DFC" w:rsidRPr="00E94DFC" w:rsidTr="00E94DFC">
        <w:trPr>
          <w:trHeight w:val="36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w:t>
            </w:r>
            <w:r w:rsidRPr="00E94DFC">
              <w:rPr>
                <w:b/>
                <w:bCs/>
                <w:i/>
                <w:iCs/>
                <w:sz w:val="20"/>
                <w:szCs w:val="20"/>
                <w:lang w:eastAsia="ru-RU"/>
              </w:rPr>
              <w:t>СОБСТВЕННЫЙ КАПИТАЛ И ОБЯЗАТЕЛЬСТВА</w:t>
            </w:r>
          </w:p>
        </w:tc>
        <w:tc>
          <w:tcPr>
            <w:tcW w:w="1524" w:type="dxa"/>
            <w:tcBorders>
              <w:top w:val="single" w:sz="8" w:space="0" w:color="auto"/>
              <w:left w:val="single" w:sz="8" w:space="0" w:color="auto"/>
              <w:bottom w:val="nil"/>
              <w:right w:val="nil"/>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 </w:t>
            </w:r>
          </w:p>
        </w:tc>
        <w:tc>
          <w:tcPr>
            <w:tcW w:w="1949" w:type="dxa"/>
            <w:tcBorders>
              <w:top w:val="single" w:sz="8" w:space="0" w:color="auto"/>
              <w:left w:val="single" w:sz="8" w:space="0" w:color="auto"/>
              <w:bottom w:val="nil"/>
              <w:right w:val="nil"/>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 </w:t>
            </w:r>
          </w:p>
        </w:tc>
        <w:tc>
          <w:tcPr>
            <w:tcW w:w="1410" w:type="dxa"/>
            <w:tcBorders>
              <w:top w:val="nil"/>
              <w:left w:val="single" w:sz="8" w:space="0" w:color="auto"/>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rPr>
                <w:i/>
                <w:iCs/>
                <w:sz w:val="20"/>
                <w:szCs w:val="20"/>
                <w:lang w:eastAsia="ru-RU"/>
              </w:rPr>
            </w:pPr>
            <w:r w:rsidRPr="00E94DFC">
              <w:rPr>
                <w:i/>
                <w:iCs/>
                <w:sz w:val="20"/>
                <w:szCs w:val="20"/>
                <w:lang w:eastAsia="ru-RU"/>
              </w:rPr>
              <w:t> </w:t>
            </w:r>
          </w:p>
        </w:tc>
      </w:tr>
      <w:tr w:rsidR="00E94DFC" w:rsidRPr="00E94DFC" w:rsidTr="00E94DFC">
        <w:trPr>
          <w:trHeight w:val="372"/>
        </w:trPr>
        <w:tc>
          <w:tcPr>
            <w:tcW w:w="4906" w:type="dxa"/>
            <w:tcBorders>
              <w:top w:val="single" w:sz="8" w:space="0" w:color="auto"/>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w:t>
            </w:r>
            <w:r w:rsidRPr="00E94DFC">
              <w:rPr>
                <w:b/>
                <w:bCs/>
                <w:sz w:val="20"/>
                <w:szCs w:val="20"/>
                <w:lang w:eastAsia="ru-RU"/>
              </w:rPr>
              <w:t xml:space="preserve">Собственный капитал, в </w:t>
            </w:r>
            <w:proofErr w:type="spellStart"/>
            <w:r w:rsidRPr="00E94DFC">
              <w:rPr>
                <w:b/>
                <w:bCs/>
                <w:sz w:val="20"/>
                <w:szCs w:val="20"/>
                <w:lang w:eastAsia="ru-RU"/>
              </w:rPr>
              <w:t>т.ч</w:t>
            </w:r>
            <w:proofErr w:type="spellEnd"/>
            <w:r w:rsidRPr="00E94DFC">
              <w:rPr>
                <w:b/>
                <w:bCs/>
                <w:sz w:val="20"/>
                <w:szCs w:val="20"/>
                <w:lang w:eastAsia="ru-RU"/>
              </w:rPr>
              <w:t>.:</w:t>
            </w:r>
          </w:p>
        </w:tc>
        <w:tc>
          <w:tcPr>
            <w:tcW w:w="1524" w:type="dxa"/>
            <w:tcBorders>
              <w:top w:val="single" w:sz="8" w:space="0" w:color="auto"/>
              <w:left w:val="single" w:sz="8" w:space="0" w:color="auto"/>
              <w:bottom w:val="nil"/>
              <w:right w:val="single" w:sz="8" w:space="0" w:color="auto"/>
            </w:tcBorders>
            <w:shd w:val="clear" w:color="auto" w:fill="auto"/>
            <w:noWrap/>
            <w:vAlign w:val="bottom"/>
            <w:hideMark/>
          </w:tcPr>
          <w:p w:rsidR="00E94DFC" w:rsidRPr="00E94DFC" w:rsidRDefault="00E94DFC" w:rsidP="0016578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8</w:t>
            </w:r>
            <w:r w:rsidR="0016578C">
              <w:rPr>
                <w:rFonts w:ascii="Times New Roman CYR" w:hAnsi="Times New Roman CYR" w:cs="Times New Roman CYR"/>
                <w:b/>
                <w:bCs/>
                <w:sz w:val="20"/>
                <w:szCs w:val="20"/>
                <w:lang w:eastAsia="ru-RU"/>
              </w:rPr>
              <w:t>49 068</w:t>
            </w:r>
          </w:p>
        </w:tc>
        <w:tc>
          <w:tcPr>
            <w:tcW w:w="1949" w:type="dxa"/>
            <w:tcBorders>
              <w:top w:val="single" w:sz="8" w:space="0" w:color="auto"/>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766</w:t>
            </w:r>
            <w:r w:rsidRPr="0089707A">
              <w:rPr>
                <w:rFonts w:ascii="Times New Roman CYR" w:hAnsi="Times New Roman CYR" w:cs="Times New Roman CYR"/>
                <w:b/>
                <w:bCs/>
                <w:sz w:val="20"/>
                <w:szCs w:val="20"/>
                <w:lang w:eastAsia="ru-RU"/>
              </w:rPr>
              <w:t> </w:t>
            </w:r>
            <w:r w:rsidRPr="00E94DFC">
              <w:rPr>
                <w:rFonts w:ascii="Times New Roman CYR" w:hAnsi="Times New Roman CYR" w:cs="Times New Roman CYR"/>
                <w:b/>
                <w:bCs/>
                <w:sz w:val="20"/>
                <w:szCs w:val="20"/>
                <w:lang w:eastAsia="ru-RU"/>
              </w:rPr>
              <w:t>361</w:t>
            </w:r>
            <w:r w:rsidRPr="0089707A">
              <w:rPr>
                <w:rFonts w:ascii="Times New Roman CYR" w:hAnsi="Times New Roman CYR" w:cs="Times New Roman CYR"/>
                <w:b/>
                <w:bCs/>
                <w:sz w:val="20"/>
                <w:szCs w:val="20"/>
                <w:lang w:eastAsia="ru-RU"/>
              </w:rPr>
              <w:t>*</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16578C" w:rsidP="00E94DFC">
            <w:pPr>
              <w:suppressAutoHyphens w:val="0"/>
              <w:jc w:val="center"/>
              <w:rPr>
                <w:rFonts w:ascii="Times New Roman CYR" w:hAnsi="Times New Roman CYR" w:cs="Times New Roman CYR"/>
                <w:b/>
                <w:bCs/>
                <w:i/>
                <w:iCs/>
                <w:sz w:val="20"/>
                <w:szCs w:val="20"/>
                <w:lang w:eastAsia="ru-RU"/>
              </w:rPr>
            </w:pPr>
            <w:r>
              <w:rPr>
                <w:rFonts w:ascii="Times New Roman CYR" w:hAnsi="Times New Roman CYR" w:cs="Times New Roman CYR"/>
                <w:b/>
                <w:bCs/>
                <w:i/>
                <w:iCs/>
                <w:sz w:val="20"/>
                <w:szCs w:val="20"/>
                <w:lang w:eastAsia="ru-RU"/>
              </w:rPr>
              <w:t>10,8</w:t>
            </w:r>
            <w:r w:rsidR="00E94DFC" w:rsidRPr="00E94DFC">
              <w:rPr>
                <w:rFonts w:ascii="Times New Roman CYR" w:hAnsi="Times New Roman CYR" w:cs="Times New Roman CYR"/>
                <w:b/>
                <w:bCs/>
                <w:i/>
                <w:iCs/>
                <w:sz w:val="20"/>
                <w:szCs w:val="20"/>
                <w:lang w:eastAsia="ru-RU"/>
              </w:rPr>
              <w:t>%</w:t>
            </w:r>
          </w:p>
        </w:tc>
      </w:tr>
      <w:tr w:rsidR="00E94DFC" w:rsidRPr="00E94DFC" w:rsidTr="00E94DFC">
        <w:trPr>
          <w:trHeight w:val="263"/>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Нераспределенная прибыль</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16578C" w:rsidP="00E94DFC">
            <w:pPr>
              <w:suppressAutoHyphens w:val="0"/>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725 123</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645</w:t>
            </w:r>
            <w:r w:rsidRPr="0089707A">
              <w:rPr>
                <w:rFonts w:ascii="Times New Roman CYR" w:hAnsi="Times New Roman CYR" w:cs="Times New Roman CYR"/>
                <w:sz w:val="20"/>
                <w:szCs w:val="20"/>
                <w:lang w:eastAsia="ru-RU"/>
              </w:rPr>
              <w:t> </w:t>
            </w:r>
            <w:r w:rsidRPr="00E94DFC">
              <w:rPr>
                <w:rFonts w:ascii="Times New Roman CYR" w:hAnsi="Times New Roman CYR" w:cs="Times New Roman CYR"/>
                <w:sz w:val="20"/>
                <w:szCs w:val="20"/>
                <w:lang w:eastAsia="ru-RU"/>
              </w:rPr>
              <w:t>800</w:t>
            </w:r>
            <w:r w:rsidRPr="0089707A">
              <w:rPr>
                <w:rFonts w:ascii="Times New Roman CYR" w:hAnsi="Times New Roman CYR" w:cs="Times New Roman CYR"/>
                <w:sz w:val="20"/>
                <w:szCs w:val="20"/>
                <w:lang w:eastAsia="ru-RU"/>
              </w:rPr>
              <w:t>*</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16578C" w:rsidP="00E94DFC">
            <w:pPr>
              <w:suppressAutoHyphens w:val="0"/>
              <w:jc w:val="center"/>
              <w:rPr>
                <w:rFonts w:ascii="Times New Roman CYR" w:hAnsi="Times New Roman CYR" w:cs="Times New Roman CYR"/>
                <w:i/>
                <w:iCs/>
                <w:sz w:val="20"/>
                <w:szCs w:val="20"/>
                <w:lang w:eastAsia="ru-RU"/>
              </w:rPr>
            </w:pPr>
            <w:r>
              <w:rPr>
                <w:rFonts w:ascii="Times New Roman CYR" w:hAnsi="Times New Roman CYR" w:cs="Times New Roman CYR"/>
                <w:i/>
                <w:iCs/>
                <w:sz w:val="20"/>
                <w:szCs w:val="20"/>
                <w:lang w:eastAsia="ru-RU"/>
              </w:rPr>
              <w:t>12,3</w:t>
            </w:r>
            <w:r w:rsidR="00E94DFC" w:rsidRPr="00E94DFC">
              <w:rPr>
                <w:rFonts w:ascii="Times New Roman CYR" w:hAnsi="Times New Roman CYR" w:cs="Times New Roman CYR"/>
                <w:i/>
                <w:iCs/>
                <w:sz w:val="20"/>
                <w:szCs w:val="20"/>
                <w:lang w:eastAsia="ru-RU"/>
              </w:rPr>
              <w:t>%</w:t>
            </w:r>
          </w:p>
        </w:tc>
      </w:tr>
      <w:tr w:rsidR="00E94DFC" w:rsidRPr="00E94DFC" w:rsidTr="00E94DFC">
        <w:trPr>
          <w:trHeight w:val="300"/>
        </w:trPr>
        <w:tc>
          <w:tcPr>
            <w:tcW w:w="4906" w:type="dxa"/>
            <w:tcBorders>
              <w:top w:val="nil"/>
              <w:left w:val="single" w:sz="8" w:space="0" w:color="auto"/>
              <w:bottom w:val="single" w:sz="8" w:space="0" w:color="auto"/>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Доля неконтролирующих акционеров</w:t>
            </w:r>
          </w:p>
        </w:tc>
        <w:tc>
          <w:tcPr>
            <w:tcW w:w="1524" w:type="dxa"/>
            <w:tcBorders>
              <w:top w:val="nil"/>
              <w:left w:val="single" w:sz="8" w:space="0" w:color="auto"/>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16 311</w:t>
            </w:r>
          </w:p>
        </w:tc>
        <w:tc>
          <w:tcPr>
            <w:tcW w:w="1949" w:type="dxa"/>
            <w:tcBorders>
              <w:top w:val="nil"/>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12 927</w:t>
            </w:r>
          </w:p>
        </w:tc>
        <w:tc>
          <w:tcPr>
            <w:tcW w:w="1410" w:type="dxa"/>
            <w:tcBorders>
              <w:top w:val="nil"/>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26,2%</w:t>
            </w:r>
          </w:p>
        </w:tc>
      </w:tr>
      <w:tr w:rsidR="00E94DFC" w:rsidRPr="00E94DFC" w:rsidTr="00C61D4D">
        <w:trPr>
          <w:trHeight w:val="391"/>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w:t>
            </w:r>
            <w:r w:rsidRPr="00E94DFC">
              <w:rPr>
                <w:b/>
                <w:bCs/>
                <w:i/>
                <w:iCs/>
                <w:sz w:val="20"/>
                <w:szCs w:val="20"/>
                <w:lang w:eastAsia="ru-RU"/>
              </w:rPr>
              <w:t xml:space="preserve">Долгосрочные обязательства, в </w:t>
            </w:r>
            <w:proofErr w:type="spellStart"/>
            <w:r w:rsidRPr="00E94DFC">
              <w:rPr>
                <w:b/>
                <w:bCs/>
                <w:i/>
                <w:iCs/>
                <w:sz w:val="20"/>
                <w:szCs w:val="20"/>
                <w:lang w:eastAsia="ru-RU"/>
              </w:rPr>
              <w:t>т.ч</w:t>
            </w:r>
            <w:proofErr w:type="spellEnd"/>
            <w:r w:rsidRPr="00E94DFC">
              <w:rPr>
                <w:b/>
                <w:bCs/>
                <w:i/>
                <w:iCs/>
                <w:sz w:val="20"/>
                <w:szCs w:val="20"/>
                <w:lang w:eastAsia="ru-RU"/>
              </w:rPr>
              <w:t>.:</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225B7D">
            <w:pPr>
              <w:suppressAutoHyphens w:val="0"/>
              <w:jc w:val="center"/>
              <w:rPr>
                <w:rFonts w:ascii="Times New Roman CYR" w:hAnsi="Times New Roman CYR" w:cs="Times New Roman CYR"/>
                <w:b/>
                <w:bCs/>
                <w:i/>
                <w:iCs/>
                <w:sz w:val="20"/>
                <w:szCs w:val="20"/>
                <w:lang w:eastAsia="ru-RU"/>
              </w:rPr>
            </w:pPr>
            <w:r w:rsidRPr="00E94DFC">
              <w:rPr>
                <w:rFonts w:ascii="Times New Roman CYR" w:hAnsi="Times New Roman CYR" w:cs="Times New Roman CYR"/>
                <w:b/>
                <w:bCs/>
                <w:i/>
                <w:iCs/>
                <w:sz w:val="20"/>
                <w:szCs w:val="20"/>
                <w:lang w:eastAsia="ru-RU"/>
              </w:rPr>
              <w:t>171</w:t>
            </w:r>
            <w:r w:rsidR="00225B7D">
              <w:rPr>
                <w:rFonts w:ascii="Times New Roman CYR" w:hAnsi="Times New Roman CYR" w:cs="Times New Roman CYR"/>
                <w:b/>
                <w:bCs/>
                <w:i/>
                <w:iCs/>
                <w:sz w:val="20"/>
                <w:szCs w:val="20"/>
                <w:lang w:eastAsia="ru-RU"/>
              </w:rPr>
              <w:t xml:space="preserve"> 042</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i/>
                <w:iCs/>
                <w:sz w:val="20"/>
                <w:szCs w:val="20"/>
                <w:lang w:eastAsia="ru-RU"/>
              </w:rPr>
            </w:pPr>
            <w:r w:rsidRPr="00E94DFC">
              <w:rPr>
                <w:rFonts w:ascii="Times New Roman CYR" w:hAnsi="Times New Roman CYR" w:cs="Times New Roman CYR"/>
                <w:b/>
                <w:bCs/>
                <w:i/>
                <w:iCs/>
                <w:sz w:val="20"/>
                <w:szCs w:val="20"/>
                <w:lang w:eastAsia="ru-RU"/>
              </w:rPr>
              <w:t>129 342</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225B7D" w:rsidP="00E94DFC">
            <w:pPr>
              <w:suppressAutoHyphens w:val="0"/>
              <w:jc w:val="center"/>
              <w:rPr>
                <w:rFonts w:ascii="Times New Roman CYR" w:hAnsi="Times New Roman CYR" w:cs="Times New Roman CYR"/>
                <w:b/>
                <w:bCs/>
                <w:i/>
                <w:iCs/>
                <w:sz w:val="20"/>
                <w:szCs w:val="20"/>
                <w:lang w:eastAsia="ru-RU"/>
              </w:rPr>
            </w:pPr>
            <w:r>
              <w:rPr>
                <w:rFonts w:ascii="Times New Roman CYR" w:hAnsi="Times New Roman CYR" w:cs="Times New Roman CYR"/>
                <w:b/>
                <w:bCs/>
                <w:i/>
                <w:iCs/>
                <w:sz w:val="20"/>
                <w:szCs w:val="20"/>
                <w:lang w:eastAsia="ru-RU"/>
              </w:rPr>
              <w:t>32,2</w:t>
            </w:r>
            <w:r w:rsidR="00E94DFC" w:rsidRPr="00E94DFC">
              <w:rPr>
                <w:rFonts w:ascii="Times New Roman CYR" w:hAnsi="Times New Roman CYR" w:cs="Times New Roman CYR"/>
                <w:b/>
                <w:bCs/>
                <w:i/>
                <w:iCs/>
                <w:sz w:val="20"/>
                <w:szCs w:val="20"/>
                <w:lang w:eastAsia="ru-RU"/>
              </w:rPr>
              <w:t>%</w:t>
            </w:r>
          </w:p>
        </w:tc>
      </w:tr>
      <w:tr w:rsidR="00E94DFC" w:rsidRPr="00E94DFC" w:rsidTr="00E94DFC">
        <w:trPr>
          <w:trHeight w:val="30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Кредиторская задолженность и начисления</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108 119</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63 655</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69,9%</w:t>
            </w:r>
          </w:p>
        </w:tc>
      </w:tr>
      <w:tr w:rsidR="00E94DFC" w:rsidRPr="00E94DFC" w:rsidTr="00E94DFC">
        <w:trPr>
          <w:trHeight w:val="255"/>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Долгосрочные заемные средства</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225B7D">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 xml:space="preserve">56 </w:t>
            </w:r>
            <w:r w:rsidR="00225B7D">
              <w:rPr>
                <w:rFonts w:ascii="Times New Roman CYR" w:hAnsi="Times New Roman CYR" w:cs="Times New Roman CYR"/>
                <w:sz w:val="20"/>
                <w:szCs w:val="20"/>
                <w:lang w:eastAsia="ru-RU"/>
              </w:rPr>
              <w:t>422</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61 790</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225B7D" w:rsidP="00E94DFC">
            <w:pPr>
              <w:suppressAutoHyphens w:val="0"/>
              <w:jc w:val="center"/>
              <w:rPr>
                <w:rFonts w:ascii="Times New Roman CYR" w:hAnsi="Times New Roman CYR" w:cs="Times New Roman CYR"/>
                <w:i/>
                <w:iCs/>
                <w:sz w:val="20"/>
                <w:szCs w:val="20"/>
                <w:lang w:eastAsia="ru-RU"/>
              </w:rPr>
            </w:pPr>
            <w:r>
              <w:rPr>
                <w:rFonts w:ascii="Times New Roman CYR" w:hAnsi="Times New Roman CYR" w:cs="Times New Roman CYR"/>
                <w:i/>
                <w:iCs/>
                <w:sz w:val="20"/>
                <w:szCs w:val="20"/>
                <w:lang w:eastAsia="ru-RU"/>
              </w:rPr>
              <w:t>-8,7</w:t>
            </w:r>
            <w:r w:rsidR="00E94DFC" w:rsidRPr="00E94DFC">
              <w:rPr>
                <w:rFonts w:ascii="Times New Roman CYR" w:hAnsi="Times New Roman CYR" w:cs="Times New Roman CYR"/>
                <w:i/>
                <w:iCs/>
                <w:sz w:val="20"/>
                <w:szCs w:val="20"/>
                <w:lang w:eastAsia="ru-RU"/>
              </w:rPr>
              <w:t>%</w:t>
            </w:r>
          </w:p>
        </w:tc>
      </w:tr>
      <w:tr w:rsidR="00E94DFC" w:rsidRPr="00E94DFC" w:rsidTr="00E94DFC">
        <w:trPr>
          <w:trHeight w:val="315"/>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w:t>
            </w:r>
            <w:r w:rsidRPr="00E94DFC">
              <w:rPr>
                <w:b/>
                <w:bCs/>
                <w:i/>
                <w:iCs/>
                <w:sz w:val="20"/>
                <w:szCs w:val="20"/>
                <w:lang w:eastAsia="ru-RU"/>
              </w:rPr>
              <w:t xml:space="preserve">Краткосрочные обязательства, в </w:t>
            </w:r>
            <w:proofErr w:type="spellStart"/>
            <w:r w:rsidRPr="00E94DFC">
              <w:rPr>
                <w:b/>
                <w:bCs/>
                <w:i/>
                <w:iCs/>
                <w:sz w:val="20"/>
                <w:szCs w:val="20"/>
                <w:lang w:eastAsia="ru-RU"/>
              </w:rPr>
              <w:t>т.ч</w:t>
            </w:r>
            <w:proofErr w:type="spellEnd"/>
            <w:r w:rsidRPr="00E94DFC">
              <w:rPr>
                <w:b/>
                <w:bCs/>
                <w:i/>
                <w:iCs/>
                <w:sz w:val="20"/>
                <w:szCs w:val="20"/>
                <w:lang w:eastAsia="ru-RU"/>
              </w:rPr>
              <w:t>.:</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5171E5">
            <w:pPr>
              <w:suppressAutoHyphens w:val="0"/>
              <w:jc w:val="center"/>
              <w:rPr>
                <w:rFonts w:ascii="Times New Roman CYR" w:hAnsi="Times New Roman CYR" w:cs="Times New Roman CYR"/>
                <w:b/>
                <w:bCs/>
                <w:i/>
                <w:iCs/>
                <w:sz w:val="20"/>
                <w:szCs w:val="20"/>
                <w:lang w:eastAsia="ru-RU"/>
              </w:rPr>
            </w:pPr>
            <w:r w:rsidRPr="00E94DFC">
              <w:rPr>
                <w:rFonts w:ascii="Times New Roman CYR" w:hAnsi="Times New Roman CYR" w:cs="Times New Roman CYR"/>
                <w:b/>
                <w:bCs/>
                <w:i/>
                <w:iCs/>
                <w:sz w:val="20"/>
                <w:szCs w:val="20"/>
                <w:lang w:eastAsia="ru-RU"/>
              </w:rPr>
              <w:t xml:space="preserve">151 </w:t>
            </w:r>
            <w:r w:rsidR="005171E5">
              <w:rPr>
                <w:rFonts w:ascii="Times New Roman CYR" w:hAnsi="Times New Roman CYR" w:cs="Times New Roman CYR"/>
                <w:b/>
                <w:bCs/>
                <w:i/>
                <w:iCs/>
                <w:sz w:val="20"/>
                <w:szCs w:val="20"/>
                <w:lang w:eastAsia="ru-RU"/>
              </w:rPr>
              <w:t>936</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i/>
                <w:iCs/>
                <w:sz w:val="20"/>
                <w:szCs w:val="20"/>
                <w:lang w:eastAsia="ru-RU"/>
              </w:rPr>
            </w:pPr>
            <w:r w:rsidRPr="00E94DFC">
              <w:rPr>
                <w:rFonts w:ascii="Times New Roman CYR" w:hAnsi="Times New Roman CYR" w:cs="Times New Roman CYR"/>
                <w:b/>
                <w:bCs/>
                <w:i/>
                <w:iCs/>
                <w:sz w:val="20"/>
                <w:szCs w:val="20"/>
                <w:lang w:eastAsia="ru-RU"/>
              </w:rPr>
              <w:t>203 179</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5171E5">
            <w:pPr>
              <w:suppressAutoHyphens w:val="0"/>
              <w:jc w:val="center"/>
              <w:rPr>
                <w:rFonts w:ascii="Times New Roman CYR" w:hAnsi="Times New Roman CYR" w:cs="Times New Roman CYR"/>
                <w:b/>
                <w:bCs/>
                <w:i/>
                <w:iCs/>
                <w:sz w:val="20"/>
                <w:szCs w:val="20"/>
                <w:lang w:eastAsia="ru-RU"/>
              </w:rPr>
            </w:pPr>
            <w:r w:rsidRPr="00E94DFC">
              <w:rPr>
                <w:rFonts w:ascii="Times New Roman CYR" w:hAnsi="Times New Roman CYR" w:cs="Times New Roman CYR"/>
                <w:b/>
                <w:bCs/>
                <w:i/>
                <w:iCs/>
                <w:sz w:val="20"/>
                <w:szCs w:val="20"/>
                <w:lang w:eastAsia="ru-RU"/>
              </w:rPr>
              <w:t>-25,</w:t>
            </w:r>
            <w:r w:rsidR="005171E5">
              <w:rPr>
                <w:rFonts w:ascii="Times New Roman CYR" w:hAnsi="Times New Roman CYR" w:cs="Times New Roman CYR"/>
                <w:b/>
                <w:bCs/>
                <w:i/>
                <w:iCs/>
                <w:sz w:val="20"/>
                <w:szCs w:val="20"/>
                <w:lang w:eastAsia="ru-RU"/>
              </w:rPr>
              <w:t>2</w:t>
            </w:r>
            <w:r w:rsidRPr="00E94DFC">
              <w:rPr>
                <w:rFonts w:ascii="Times New Roman CYR" w:hAnsi="Times New Roman CYR" w:cs="Times New Roman CYR"/>
                <w:b/>
                <w:bCs/>
                <w:i/>
                <w:iCs/>
                <w:sz w:val="20"/>
                <w:szCs w:val="20"/>
                <w:lang w:eastAsia="ru-RU"/>
              </w:rPr>
              <w:t>%</w:t>
            </w:r>
          </w:p>
        </w:tc>
      </w:tr>
      <w:tr w:rsidR="00E94DFC" w:rsidRPr="00E94DFC" w:rsidTr="00E94DFC">
        <w:trPr>
          <w:trHeight w:val="255"/>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Краткосрочные заемные средства</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5171E5">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 xml:space="preserve">89 </w:t>
            </w:r>
            <w:r w:rsidR="005171E5">
              <w:rPr>
                <w:rFonts w:ascii="Times New Roman CYR" w:hAnsi="Times New Roman CYR" w:cs="Times New Roman CYR"/>
                <w:sz w:val="20"/>
                <w:szCs w:val="20"/>
                <w:lang w:eastAsia="ru-RU"/>
              </w:rPr>
              <w:t>002</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87 217</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5171E5">
            <w:pPr>
              <w:suppressAutoHyphens w:val="0"/>
              <w:jc w:val="center"/>
              <w:rPr>
                <w:rFonts w:ascii="Times New Roman CYR" w:hAnsi="Times New Roman CYR" w:cs="Times New Roman CYR"/>
                <w:i/>
                <w:iCs/>
                <w:sz w:val="20"/>
                <w:szCs w:val="20"/>
                <w:lang w:eastAsia="ru-RU"/>
              </w:rPr>
            </w:pPr>
            <w:r w:rsidRPr="00E94DFC">
              <w:rPr>
                <w:rFonts w:ascii="Times New Roman CYR" w:hAnsi="Times New Roman CYR" w:cs="Times New Roman CYR"/>
                <w:i/>
                <w:iCs/>
                <w:sz w:val="20"/>
                <w:szCs w:val="20"/>
                <w:lang w:eastAsia="ru-RU"/>
              </w:rPr>
              <w:t>2,</w:t>
            </w:r>
            <w:r w:rsidR="005171E5">
              <w:rPr>
                <w:rFonts w:ascii="Times New Roman CYR" w:hAnsi="Times New Roman CYR" w:cs="Times New Roman CYR"/>
                <w:i/>
                <w:iCs/>
                <w:sz w:val="20"/>
                <w:szCs w:val="20"/>
                <w:lang w:eastAsia="ru-RU"/>
              </w:rPr>
              <w:t>0</w:t>
            </w:r>
            <w:r w:rsidRPr="00E94DFC">
              <w:rPr>
                <w:rFonts w:ascii="Times New Roman CYR" w:hAnsi="Times New Roman CYR" w:cs="Times New Roman CYR"/>
                <w:i/>
                <w:iCs/>
                <w:sz w:val="20"/>
                <w:szCs w:val="20"/>
                <w:lang w:eastAsia="ru-RU"/>
              </w:rPr>
              <w:t>%</w:t>
            </w:r>
          </w:p>
        </w:tc>
      </w:tr>
      <w:tr w:rsidR="00E94DFC" w:rsidRPr="00E94DFC" w:rsidTr="00E94DFC">
        <w:trPr>
          <w:trHeight w:val="270"/>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Кредиторская задолженность и начисления</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5171E5">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5</w:t>
            </w:r>
            <w:r w:rsidR="005171E5">
              <w:rPr>
                <w:rFonts w:ascii="Times New Roman CYR" w:hAnsi="Times New Roman CYR" w:cs="Times New Roman CYR"/>
                <w:sz w:val="20"/>
                <w:szCs w:val="20"/>
                <w:lang w:eastAsia="ru-RU"/>
              </w:rPr>
              <w:t>8 469</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sz w:val="20"/>
                <w:szCs w:val="20"/>
                <w:lang w:eastAsia="ru-RU"/>
              </w:rPr>
            </w:pPr>
            <w:r w:rsidRPr="00E94DFC">
              <w:rPr>
                <w:rFonts w:ascii="Times New Roman CYR" w:hAnsi="Times New Roman CYR" w:cs="Times New Roman CYR"/>
                <w:sz w:val="20"/>
                <w:szCs w:val="20"/>
                <w:lang w:eastAsia="ru-RU"/>
              </w:rPr>
              <w:t>112 531</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5171E5" w:rsidP="00E94DFC">
            <w:pPr>
              <w:suppressAutoHyphens w:val="0"/>
              <w:jc w:val="center"/>
              <w:rPr>
                <w:rFonts w:ascii="Times New Roman CYR" w:hAnsi="Times New Roman CYR" w:cs="Times New Roman CYR"/>
                <w:i/>
                <w:iCs/>
                <w:sz w:val="20"/>
                <w:szCs w:val="20"/>
                <w:lang w:eastAsia="ru-RU"/>
              </w:rPr>
            </w:pPr>
            <w:r>
              <w:rPr>
                <w:rFonts w:ascii="Times New Roman CYR" w:hAnsi="Times New Roman CYR" w:cs="Times New Roman CYR"/>
                <w:i/>
                <w:iCs/>
                <w:sz w:val="20"/>
                <w:szCs w:val="20"/>
                <w:lang w:eastAsia="ru-RU"/>
              </w:rPr>
              <w:t>-48,0</w:t>
            </w:r>
            <w:r w:rsidR="00E94DFC" w:rsidRPr="00E94DFC">
              <w:rPr>
                <w:rFonts w:ascii="Times New Roman CYR" w:hAnsi="Times New Roman CYR" w:cs="Times New Roman CYR"/>
                <w:i/>
                <w:iCs/>
                <w:sz w:val="20"/>
                <w:szCs w:val="20"/>
                <w:lang w:eastAsia="ru-RU"/>
              </w:rPr>
              <w:t>%</w:t>
            </w:r>
          </w:p>
        </w:tc>
      </w:tr>
      <w:tr w:rsidR="00E94DFC" w:rsidRPr="00E94DFC" w:rsidTr="00E94DFC">
        <w:trPr>
          <w:trHeight w:val="300"/>
        </w:trPr>
        <w:tc>
          <w:tcPr>
            <w:tcW w:w="4906" w:type="dxa"/>
            <w:tcBorders>
              <w:top w:val="single" w:sz="8" w:space="0" w:color="auto"/>
              <w:left w:val="single" w:sz="8" w:space="0" w:color="auto"/>
              <w:bottom w:val="single" w:sz="8" w:space="0" w:color="auto"/>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xml:space="preserve">  </w:t>
            </w:r>
            <w:r w:rsidRPr="00E94DFC">
              <w:rPr>
                <w:b/>
                <w:bCs/>
                <w:sz w:val="20"/>
                <w:szCs w:val="20"/>
                <w:lang w:eastAsia="ru-RU"/>
              </w:rPr>
              <w:t>Итого обязательства</w:t>
            </w:r>
          </w:p>
        </w:tc>
        <w:tc>
          <w:tcPr>
            <w:tcW w:w="15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4DFC" w:rsidRPr="00E94DFC" w:rsidRDefault="009F198E" w:rsidP="00E94DFC">
            <w:pPr>
              <w:suppressAutoHyphens w:val="0"/>
              <w:jc w:val="center"/>
              <w:rPr>
                <w:rFonts w:ascii="Times New Roman CYR" w:hAnsi="Times New Roman CYR" w:cs="Times New Roman CYR"/>
                <w:b/>
                <w:bCs/>
                <w:sz w:val="20"/>
                <w:szCs w:val="20"/>
                <w:lang w:eastAsia="ru-RU"/>
              </w:rPr>
            </w:pPr>
            <w:r>
              <w:rPr>
                <w:rFonts w:ascii="Times New Roman CYR" w:hAnsi="Times New Roman CYR" w:cs="Times New Roman CYR"/>
                <w:b/>
                <w:bCs/>
                <w:sz w:val="20"/>
                <w:szCs w:val="20"/>
                <w:lang w:eastAsia="ru-RU"/>
              </w:rPr>
              <w:t>322 978</w:t>
            </w:r>
          </w:p>
        </w:tc>
        <w:tc>
          <w:tcPr>
            <w:tcW w:w="1949" w:type="dxa"/>
            <w:tcBorders>
              <w:top w:val="single" w:sz="8" w:space="0" w:color="auto"/>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332 521</w:t>
            </w:r>
          </w:p>
        </w:tc>
        <w:tc>
          <w:tcPr>
            <w:tcW w:w="1410" w:type="dxa"/>
            <w:tcBorders>
              <w:top w:val="single" w:sz="8" w:space="0" w:color="auto"/>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i/>
                <w:iCs/>
                <w:sz w:val="20"/>
                <w:szCs w:val="20"/>
                <w:lang w:eastAsia="ru-RU"/>
              </w:rPr>
            </w:pPr>
            <w:r w:rsidRPr="00E94DFC">
              <w:rPr>
                <w:rFonts w:ascii="Times New Roman CYR" w:hAnsi="Times New Roman CYR" w:cs="Times New Roman CYR"/>
                <w:b/>
                <w:bCs/>
                <w:i/>
                <w:iCs/>
                <w:sz w:val="20"/>
                <w:szCs w:val="20"/>
                <w:lang w:eastAsia="ru-RU"/>
              </w:rPr>
              <w:t>-2,9%</w:t>
            </w:r>
          </w:p>
        </w:tc>
      </w:tr>
      <w:tr w:rsidR="00E94DFC" w:rsidRPr="00E94DFC" w:rsidTr="00C61D4D">
        <w:trPr>
          <w:trHeight w:val="535"/>
        </w:trPr>
        <w:tc>
          <w:tcPr>
            <w:tcW w:w="4906" w:type="dxa"/>
            <w:tcBorders>
              <w:top w:val="nil"/>
              <w:left w:val="single" w:sz="8" w:space="0" w:color="auto"/>
              <w:bottom w:val="single" w:sz="8" w:space="0" w:color="auto"/>
              <w:right w:val="nil"/>
            </w:tcBorders>
            <w:shd w:val="clear" w:color="auto" w:fill="auto"/>
            <w:noWrap/>
            <w:vAlign w:val="bottom"/>
            <w:hideMark/>
          </w:tcPr>
          <w:p w:rsidR="00E94DFC" w:rsidRPr="00E94DFC" w:rsidRDefault="00E94DFC" w:rsidP="00E94DFC">
            <w:pPr>
              <w:suppressAutoHyphens w:val="0"/>
              <w:rPr>
                <w:sz w:val="22"/>
                <w:szCs w:val="22"/>
                <w:lang w:eastAsia="ru-RU"/>
              </w:rPr>
            </w:pPr>
            <w:r w:rsidRPr="00E94DFC">
              <w:rPr>
                <w:sz w:val="22"/>
                <w:szCs w:val="22"/>
                <w:lang w:eastAsia="ru-RU"/>
              </w:rPr>
              <w:t xml:space="preserve"> </w:t>
            </w:r>
            <w:r w:rsidRPr="00E94DFC">
              <w:rPr>
                <w:b/>
                <w:bCs/>
                <w:sz w:val="22"/>
                <w:szCs w:val="22"/>
                <w:lang w:eastAsia="ru-RU"/>
              </w:rPr>
              <w:t>Итого собственный капитал и обязательства</w:t>
            </w:r>
          </w:p>
        </w:tc>
        <w:tc>
          <w:tcPr>
            <w:tcW w:w="1524" w:type="dxa"/>
            <w:tcBorders>
              <w:top w:val="nil"/>
              <w:left w:val="single" w:sz="8" w:space="0" w:color="auto"/>
              <w:bottom w:val="single" w:sz="8" w:space="0" w:color="auto"/>
              <w:right w:val="single" w:sz="8" w:space="0" w:color="auto"/>
            </w:tcBorders>
            <w:shd w:val="clear" w:color="auto" w:fill="auto"/>
            <w:noWrap/>
            <w:vAlign w:val="bottom"/>
            <w:hideMark/>
          </w:tcPr>
          <w:p w:rsidR="00E94DFC" w:rsidRPr="00E94DFC" w:rsidRDefault="00E94DFC" w:rsidP="009F198E">
            <w:pPr>
              <w:suppressAutoHyphens w:val="0"/>
              <w:jc w:val="center"/>
              <w:rPr>
                <w:rFonts w:ascii="Times New Roman CYR" w:hAnsi="Times New Roman CYR" w:cs="Times New Roman CYR"/>
                <w:b/>
                <w:bCs/>
                <w:sz w:val="22"/>
                <w:szCs w:val="22"/>
                <w:lang w:eastAsia="ru-RU"/>
              </w:rPr>
            </w:pPr>
            <w:r w:rsidRPr="00E94DFC">
              <w:rPr>
                <w:rFonts w:ascii="Times New Roman CYR" w:hAnsi="Times New Roman CYR" w:cs="Times New Roman CYR"/>
                <w:b/>
                <w:bCs/>
                <w:sz w:val="22"/>
                <w:szCs w:val="22"/>
                <w:lang w:eastAsia="ru-RU"/>
              </w:rPr>
              <w:t>1</w:t>
            </w:r>
            <w:r w:rsidR="009F198E">
              <w:rPr>
                <w:rFonts w:ascii="Times New Roman CYR" w:hAnsi="Times New Roman CYR" w:cs="Times New Roman CYR"/>
                <w:b/>
                <w:bCs/>
                <w:sz w:val="22"/>
                <w:szCs w:val="22"/>
                <w:lang w:eastAsia="ru-RU"/>
              </w:rPr>
              <w:t> 172 046</w:t>
            </w:r>
          </w:p>
        </w:tc>
        <w:tc>
          <w:tcPr>
            <w:tcW w:w="1949" w:type="dxa"/>
            <w:tcBorders>
              <w:top w:val="nil"/>
              <w:left w:val="nil"/>
              <w:bottom w:val="single" w:sz="8" w:space="0" w:color="auto"/>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2"/>
                <w:szCs w:val="22"/>
                <w:lang w:eastAsia="ru-RU"/>
              </w:rPr>
            </w:pPr>
            <w:r w:rsidRPr="00E94DFC">
              <w:rPr>
                <w:rFonts w:ascii="Times New Roman CYR" w:hAnsi="Times New Roman CYR" w:cs="Times New Roman CYR"/>
                <w:b/>
                <w:bCs/>
                <w:sz w:val="22"/>
                <w:szCs w:val="22"/>
                <w:lang w:eastAsia="ru-RU"/>
              </w:rPr>
              <w:t>1 098</w:t>
            </w:r>
            <w:r w:rsidRPr="0089707A">
              <w:rPr>
                <w:rFonts w:ascii="Times New Roman CYR" w:hAnsi="Times New Roman CYR" w:cs="Times New Roman CYR"/>
                <w:b/>
                <w:bCs/>
                <w:sz w:val="22"/>
                <w:szCs w:val="22"/>
                <w:lang w:eastAsia="ru-RU"/>
              </w:rPr>
              <w:t> </w:t>
            </w:r>
            <w:r w:rsidRPr="00E94DFC">
              <w:rPr>
                <w:rFonts w:ascii="Times New Roman CYR" w:hAnsi="Times New Roman CYR" w:cs="Times New Roman CYR"/>
                <w:b/>
                <w:bCs/>
                <w:sz w:val="22"/>
                <w:szCs w:val="22"/>
                <w:lang w:eastAsia="ru-RU"/>
              </w:rPr>
              <w:t>882</w:t>
            </w:r>
            <w:r w:rsidRPr="0089707A">
              <w:rPr>
                <w:rFonts w:ascii="Times New Roman CYR" w:hAnsi="Times New Roman CYR" w:cs="Times New Roman CYR"/>
                <w:b/>
                <w:bCs/>
                <w:sz w:val="22"/>
                <w:szCs w:val="22"/>
                <w:lang w:eastAsia="ru-RU"/>
              </w:rPr>
              <w:t>*</w:t>
            </w:r>
          </w:p>
        </w:tc>
        <w:tc>
          <w:tcPr>
            <w:tcW w:w="1410" w:type="dxa"/>
            <w:tcBorders>
              <w:top w:val="nil"/>
              <w:left w:val="nil"/>
              <w:bottom w:val="single" w:sz="8" w:space="0" w:color="auto"/>
              <w:right w:val="single" w:sz="8" w:space="0" w:color="auto"/>
            </w:tcBorders>
            <w:shd w:val="clear" w:color="auto" w:fill="auto"/>
            <w:noWrap/>
            <w:vAlign w:val="bottom"/>
            <w:hideMark/>
          </w:tcPr>
          <w:p w:rsidR="00E94DFC" w:rsidRPr="00E94DFC" w:rsidRDefault="009F198E" w:rsidP="00E94DFC">
            <w:pPr>
              <w:suppressAutoHyphens w:val="0"/>
              <w:jc w:val="center"/>
              <w:rPr>
                <w:rFonts w:ascii="Times New Roman CYR" w:hAnsi="Times New Roman CYR" w:cs="Times New Roman CYR"/>
                <w:b/>
                <w:bCs/>
                <w:i/>
                <w:iCs/>
                <w:sz w:val="22"/>
                <w:szCs w:val="22"/>
                <w:lang w:eastAsia="ru-RU"/>
              </w:rPr>
            </w:pPr>
            <w:r>
              <w:rPr>
                <w:rFonts w:ascii="Times New Roman CYR" w:hAnsi="Times New Roman CYR" w:cs="Times New Roman CYR"/>
                <w:b/>
                <w:bCs/>
                <w:i/>
                <w:iCs/>
                <w:sz w:val="22"/>
                <w:szCs w:val="22"/>
                <w:lang w:eastAsia="ru-RU"/>
              </w:rPr>
              <w:t>6,7</w:t>
            </w:r>
            <w:r w:rsidR="00E94DFC" w:rsidRPr="00E94DFC">
              <w:rPr>
                <w:rFonts w:ascii="Times New Roman CYR" w:hAnsi="Times New Roman CYR" w:cs="Times New Roman CYR"/>
                <w:b/>
                <w:bCs/>
                <w:i/>
                <w:iCs/>
                <w:sz w:val="22"/>
                <w:szCs w:val="22"/>
                <w:lang w:eastAsia="ru-RU"/>
              </w:rPr>
              <w:t>%</w:t>
            </w:r>
          </w:p>
        </w:tc>
      </w:tr>
      <w:tr w:rsidR="00E94DFC" w:rsidRPr="00E94DFC" w:rsidTr="00E94DFC">
        <w:trPr>
          <w:trHeight w:val="255"/>
        </w:trPr>
        <w:tc>
          <w:tcPr>
            <w:tcW w:w="4906" w:type="dxa"/>
            <w:tcBorders>
              <w:top w:val="nil"/>
              <w:left w:val="single" w:sz="8" w:space="0" w:color="auto"/>
              <w:bottom w:val="nil"/>
              <w:right w:val="nil"/>
            </w:tcBorders>
            <w:shd w:val="clear" w:color="auto" w:fill="auto"/>
            <w:noWrap/>
            <w:vAlign w:val="bottom"/>
            <w:hideMark/>
          </w:tcPr>
          <w:p w:rsidR="00E94DFC" w:rsidRPr="00E94DFC" w:rsidRDefault="00E94DFC" w:rsidP="00E94DFC">
            <w:pPr>
              <w:suppressAutoHyphens w:val="0"/>
              <w:rPr>
                <w:sz w:val="20"/>
                <w:szCs w:val="20"/>
                <w:lang w:eastAsia="ru-RU"/>
              </w:rPr>
            </w:pPr>
            <w:r w:rsidRPr="00E94DFC">
              <w:rPr>
                <w:sz w:val="20"/>
                <w:szCs w:val="20"/>
                <w:lang w:eastAsia="ru-RU"/>
              </w:rPr>
              <w:t> </w:t>
            </w:r>
          </w:p>
        </w:tc>
        <w:tc>
          <w:tcPr>
            <w:tcW w:w="1524" w:type="dxa"/>
            <w:tcBorders>
              <w:top w:val="nil"/>
              <w:left w:val="single" w:sz="8" w:space="0" w:color="auto"/>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 </w:t>
            </w:r>
          </w:p>
        </w:tc>
        <w:tc>
          <w:tcPr>
            <w:tcW w:w="1949"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 </w:t>
            </w:r>
          </w:p>
        </w:tc>
        <w:tc>
          <w:tcPr>
            <w:tcW w:w="1410" w:type="dxa"/>
            <w:tcBorders>
              <w:top w:val="nil"/>
              <w:left w:val="nil"/>
              <w:bottom w:val="nil"/>
              <w:right w:val="single" w:sz="8" w:space="0" w:color="auto"/>
            </w:tcBorders>
            <w:shd w:val="clear" w:color="auto" w:fill="auto"/>
            <w:noWrap/>
            <w:vAlign w:val="bottom"/>
            <w:hideMark/>
          </w:tcPr>
          <w:p w:rsidR="00E94DFC" w:rsidRPr="00E94DFC" w:rsidRDefault="00E94DFC" w:rsidP="00E94DFC">
            <w:pPr>
              <w:suppressAutoHyphens w:val="0"/>
              <w:rPr>
                <w:i/>
                <w:iCs/>
                <w:sz w:val="20"/>
                <w:szCs w:val="20"/>
                <w:lang w:eastAsia="ru-RU"/>
              </w:rPr>
            </w:pPr>
            <w:r w:rsidRPr="00E94DFC">
              <w:rPr>
                <w:i/>
                <w:iCs/>
                <w:sz w:val="20"/>
                <w:szCs w:val="20"/>
                <w:lang w:eastAsia="ru-RU"/>
              </w:rPr>
              <w:t> </w:t>
            </w:r>
          </w:p>
        </w:tc>
      </w:tr>
      <w:tr w:rsidR="00E94DFC" w:rsidRPr="00E94DFC" w:rsidTr="00E94DFC">
        <w:trPr>
          <w:trHeight w:val="375"/>
        </w:trPr>
        <w:tc>
          <w:tcPr>
            <w:tcW w:w="4906" w:type="dxa"/>
            <w:tcBorders>
              <w:top w:val="single" w:sz="8" w:space="0" w:color="auto"/>
              <w:left w:val="single" w:sz="8" w:space="0" w:color="auto"/>
              <w:bottom w:val="single" w:sz="8" w:space="0" w:color="auto"/>
              <w:right w:val="nil"/>
            </w:tcBorders>
            <w:shd w:val="clear" w:color="auto" w:fill="auto"/>
            <w:noWrap/>
            <w:vAlign w:val="bottom"/>
            <w:hideMark/>
          </w:tcPr>
          <w:p w:rsidR="00E94DFC" w:rsidRPr="00E94DFC" w:rsidRDefault="00E94DFC" w:rsidP="0089707A">
            <w:pPr>
              <w:suppressAutoHyphens w:val="0"/>
              <w:rPr>
                <w:b/>
                <w:bCs/>
                <w:sz w:val="20"/>
                <w:szCs w:val="20"/>
                <w:lang w:eastAsia="ru-RU"/>
              </w:rPr>
            </w:pPr>
            <w:r>
              <w:rPr>
                <w:b/>
                <w:bCs/>
                <w:sz w:val="20"/>
                <w:szCs w:val="20"/>
                <w:lang w:eastAsia="ru-RU"/>
              </w:rPr>
              <w:t xml:space="preserve">  Чистый </w:t>
            </w:r>
            <w:r w:rsidR="0089707A">
              <w:rPr>
                <w:b/>
                <w:bCs/>
                <w:sz w:val="20"/>
                <w:szCs w:val="20"/>
                <w:lang w:eastAsia="ru-RU"/>
              </w:rPr>
              <w:t>долг</w:t>
            </w:r>
            <w:r w:rsidR="0089707A" w:rsidRPr="0089707A">
              <w:rPr>
                <w:b/>
                <w:bCs/>
                <w:sz w:val="20"/>
                <w:szCs w:val="20"/>
                <w:vertAlign w:val="superscript"/>
                <w:lang w:eastAsia="ru-RU"/>
              </w:rPr>
              <w:t xml:space="preserve"> 1</w:t>
            </w:r>
          </w:p>
        </w:tc>
        <w:tc>
          <w:tcPr>
            <w:tcW w:w="152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94DFC" w:rsidRPr="00E94DFC" w:rsidRDefault="00E94DFC" w:rsidP="00E65B8B">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 xml:space="preserve">87 </w:t>
            </w:r>
            <w:r w:rsidR="00E65B8B">
              <w:rPr>
                <w:rFonts w:ascii="Times New Roman CYR" w:hAnsi="Times New Roman CYR" w:cs="Times New Roman CYR"/>
                <w:b/>
                <w:bCs/>
                <w:sz w:val="20"/>
                <w:szCs w:val="20"/>
                <w:lang w:eastAsia="ru-RU"/>
              </w:rPr>
              <w:t>022</w:t>
            </w:r>
          </w:p>
        </w:tc>
        <w:tc>
          <w:tcPr>
            <w:tcW w:w="1949" w:type="dxa"/>
            <w:tcBorders>
              <w:top w:val="single" w:sz="8" w:space="0" w:color="auto"/>
              <w:left w:val="nil"/>
              <w:bottom w:val="single" w:sz="8" w:space="0" w:color="auto"/>
              <w:right w:val="single" w:sz="8" w:space="0" w:color="auto"/>
            </w:tcBorders>
            <w:shd w:val="clear" w:color="000000" w:fill="FFFFFF"/>
            <w:noWrap/>
            <w:vAlign w:val="bottom"/>
            <w:hideMark/>
          </w:tcPr>
          <w:p w:rsidR="00E94DFC" w:rsidRPr="00E94DFC" w:rsidRDefault="00E94DFC" w:rsidP="00E94DFC">
            <w:pPr>
              <w:suppressAutoHyphens w:val="0"/>
              <w:jc w:val="center"/>
              <w:rPr>
                <w:rFonts w:ascii="Times New Roman CYR" w:hAnsi="Times New Roman CYR" w:cs="Times New Roman CYR"/>
                <w:b/>
                <w:bCs/>
                <w:sz w:val="20"/>
                <w:szCs w:val="20"/>
                <w:lang w:eastAsia="ru-RU"/>
              </w:rPr>
            </w:pPr>
            <w:r w:rsidRPr="00E94DFC">
              <w:rPr>
                <w:rFonts w:ascii="Times New Roman CYR" w:hAnsi="Times New Roman CYR" w:cs="Times New Roman CYR"/>
                <w:b/>
                <w:bCs/>
                <w:sz w:val="20"/>
                <w:szCs w:val="20"/>
                <w:lang w:eastAsia="ru-RU"/>
              </w:rPr>
              <w:t>109 235</w:t>
            </w:r>
          </w:p>
        </w:tc>
        <w:tc>
          <w:tcPr>
            <w:tcW w:w="1410" w:type="dxa"/>
            <w:tcBorders>
              <w:top w:val="single" w:sz="8" w:space="0" w:color="auto"/>
              <w:left w:val="nil"/>
              <w:bottom w:val="single" w:sz="8" w:space="0" w:color="auto"/>
              <w:right w:val="single" w:sz="8" w:space="0" w:color="auto"/>
            </w:tcBorders>
            <w:shd w:val="clear" w:color="000000" w:fill="FFFFFF"/>
            <w:noWrap/>
            <w:vAlign w:val="bottom"/>
            <w:hideMark/>
          </w:tcPr>
          <w:p w:rsidR="00E94DFC" w:rsidRPr="00E94DFC" w:rsidRDefault="00E94DFC" w:rsidP="00E65B8B">
            <w:pPr>
              <w:suppressAutoHyphens w:val="0"/>
              <w:jc w:val="center"/>
              <w:rPr>
                <w:rFonts w:ascii="Times New Roman CYR" w:hAnsi="Times New Roman CYR" w:cs="Times New Roman CYR"/>
                <w:b/>
                <w:bCs/>
                <w:i/>
                <w:iCs/>
                <w:color w:val="FF0000"/>
                <w:sz w:val="20"/>
                <w:szCs w:val="20"/>
                <w:lang w:eastAsia="ru-RU"/>
              </w:rPr>
            </w:pPr>
            <w:r w:rsidRPr="00E94DFC">
              <w:rPr>
                <w:rFonts w:ascii="Times New Roman CYR" w:hAnsi="Times New Roman CYR" w:cs="Times New Roman CYR"/>
                <w:b/>
                <w:bCs/>
                <w:i/>
                <w:iCs/>
                <w:sz w:val="20"/>
                <w:szCs w:val="20"/>
                <w:lang w:eastAsia="ru-RU"/>
              </w:rPr>
              <w:t>-</w:t>
            </w:r>
            <w:r w:rsidR="00E65B8B">
              <w:rPr>
                <w:rFonts w:ascii="Times New Roman CYR" w:hAnsi="Times New Roman CYR" w:cs="Times New Roman CYR"/>
                <w:b/>
                <w:bCs/>
                <w:i/>
                <w:iCs/>
                <w:sz w:val="20"/>
                <w:szCs w:val="20"/>
                <w:lang w:eastAsia="ru-RU"/>
              </w:rPr>
              <w:t>20,3</w:t>
            </w:r>
            <w:r w:rsidRPr="00E94DFC">
              <w:rPr>
                <w:rFonts w:ascii="Times New Roman CYR" w:hAnsi="Times New Roman CYR" w:cs="Times New Roman CYR"/>
                <w:b/>
                <w:bCs/>
                <w:i/>
                <w:iCs/>
                <w:sz w:val="20"/>
                <w:szCs w:val="20"/>
                <w:lang w:eastAsia="ru-RU"/>
              </w:rPr>
              <w:t>%</w:t>
            </w:r>
          </w:p>
        </w:tc>
      </w:tr>
    </w:tbl>
    <w:p w:rsidR="00900B4A" w:rsidRDefault="00900B4A" w:rsidP="00CE1BBA">
      <w:pPr>
        <w:ind w:right="-257"/>
        <w:outlineLvl w:val="0"/>
        <w:rPr>
          <w:sz w:val="22"/>
        </w:rPr>
      </w:pPr>
    </w:p>
    <w:p w:rsidR="00BF280F" w:rsidRPr="0089707A" w:rsidRDefault="0089707A" w:rsidP="00A82EDF">
      <w:pPr>
        <w:spacing w:before="120"/>
        <w:ind w:right="-115"/>
        <w:jc w:val="both"/>
        <w:outlineLvl w:val="0"/>
        <w:rPr>
          <w:sz w:val="18"/>
          <w:szCs w:val="18"/>
        </w:rPr>
      </w:pPr>
      <w:r w:rsidRPr="008E7C95">
        <w:rPr>
          <w:sz w:val="20"/>
          <w:szCs w:val="20"/>
          <w:vertAlign w:val="superscript"/>
        </w:rPr>
        <w:t>1</w:t>
      </w:r>
      <w:r w:rsidRPr="008E7C95">
        <w:rPr>
          <w:sz w:val="20"/>
          <w:szCs w:val="20"/>
        </w:rPr>
        <w:t xml:space="preserve"> </w:t>
      </w:r>
      <w:r>
        <w:rPr>
          <w:sz w:val="22"/>
        </w:rPr>
        <w:t xml:space="preserve"> </w:t>
      </w:r>
      <w:r w:rsidRPr="0089707A">
        <w:rPr>
          <w:sz w:val="18"/>
          <w:szCs w:val="18"/>
        </w:rPr>
        <w:t>Показатель чистого долга рассчитывается как сумма обязательств по кредитам и займам за вычетом денежных средств и их эквивалентов, а также краткосрочных финансовых вложений.</w:t>
      </w:r>
    </w:p>
    <w:p w:rsidR="00E94DFC" w:rsidRDefault="00E94DFC" w:rsidP="00A82EDF">
      <w:pPr>
        <w:ind w:right="-115"/>
        <w:jc w:val="both"/>
        <w:outlineLvl w:val="0"/>
        <w:rPr>
          <w:sz w:val="22"/>
        </w:rPr>
      </w:pPr>
    </w:p>
    <w:p w:rsidR="00E94DFC" w:rsidRPr="008D14EA" w:rsidRDefault="008D14EA" w:rsidP="00A82EDF">
      <w:pPr>
        <w:ind w:right="-115"/>
        <w:jc w:val="both"/>
        <w:outlineLvl w:val="0"/>
        <w:rPr>
          <w:sz w:val="22"/>
        </w:rPr>
      </w:pPr>
      <w:r w:rsidRPr="008D14EA">
        <w:rPr>
          <w:sz w:val="18"/>
          <w:szCs w:val="18"/>
        </w:rPr>
        <w:t xml:space="preserve">* При составлении консолидированной промежуточной </w:t>
      </w:r>
      <w:r w:rsidR="00482E98">
        <w:rPr>
          <w:sz w:val="18"/>
          <w:szCs w:val="18"/>
        </w:rPr>
        <w:t xml:space="preserve">сокращенной </w:t>
      </w:r>
      <w:r w:rsidRPr="008D14EA">
        <w:rPr>
          <w:sz w:val="18"/>
          <w:szCs w:val="18"/>
        </w:rPr>
        <w:t>финансовой отчетности по состоянию на 30 июня 2013 г. и за 6 месяцев, закончившихся 30 июня 2013 г.,</w:t>
      </w:r>
      <w:r w:rsidR="00482E98">
        <w:rPr>
          <w:sz w:val="18"/>
          <w:szCs w:val="18"/>
        </w:rPr>
        <w:t xml:space="preserve"> по МСФО</w:t>
      </w:r>
      <w:r w:rsidRPr="008D14EA">
        <w:rPr>
          <w:sz w:val="18"/>
          <w:szCs w:val="18"/>
        </w:rPr>
        <w:t xml:space="preserve"> представление инвестиций в ассоциированные компании</w:t>
      </w:r>
      <w:r>
        <w:rPr>
          <w:sz w:val="18"/>
          <w:szCs w:val="18"/>
        </w:rPr>
        <w:t xml:space="preserve"> было изменено и, соответственно, отражено в периоде 2012 года с учетом корректировки. Статьи, испытавшие эффект от ретроспективного отражения инвестиций в ассоциированные компании, отмечены «</w:t>
      </w:r>
      <w:r w:rsidRPr="008D14EA">
        <w:rPr>
          <w:sz w:val="18"/>
          <w:szCs w:val="18"/>
        </w:rPr>
        <w:t>*</w:t>
      </w:r>
      <w:r>
        <w:rPr>
          <w:sz w:val="18"/>
          <w:szCs w:val="18"/>
        </w:rPr>
        <w:t>».</w:t>
      </w:r>
    </w:p>
    <w:p w:rsidR="00E94DFC" w:rsidRDefault="00E94DFC" w:rsidP="00CE1BBA">
      <w:pPr>
        <w:ind w:right="-257"/>
        <w:outlineLvl w:val="0"/>
        <w:rPr>
          <w:sz w:val="22"/>
        </w:rPr>
      </w:pPr>
    </w:p>
    <w:p w:rsidR="00C61D4D" w:rsidRDefault="00C61D4D" w:rsidP="00CE1BBA">
      <w:pPr>
        <w:ind w:right="-257"/>
        <w:outlineLvl w:val="0"/>
        <w:rPr>
          <w:sz w:val="22"/>
        </w:rPr>
      </w:pPr>
    </w:p>
    <w:p w:rsidR="000D5DAB" w:rsidRPr="00E44A09" w:rsidRDefault="000D5DAB" w:rsidP="00C61D4D">
      <w:pPr>
        <w:shd w:val="clear" w:color="auto" w:fill="FFFFFF"/>
        <w:ind w:right="-680"/>
        <w:jc w:val="both"/>
        <w:rPr>
          <w:color w:val="222222"/>
          <w:sz w:val="18"/>
          <w:szCs w:val="18"/>
        </w:rPr>
      </w:pPr>
      <w:r w:rsidRPr="00E44A09">
        <w:rPr>
          <w:rStyle w:val="ae"/>
          <w:color w:val="222222"/>
          <w:sz w:val="18"/>
          <w:szCs w:val="18"/>
        </w:rPr>
        <w:t>Институт Стволовых Клеток Человека (ОАО «ИСКЧ»,</w:t>
      </w:r>
      <w:r w:rsidRPr="00E44A09">
        <w:rPr>
          <w:rStyle w:val="apple-converted-space"/>
          <w:b/>
          <w:bCs/>
          <w:color w:val="222222"/>
          <w:sz w:val="18"/>
          <w:szCs w:val="18"/>
        </w:rPr>
        <w:t> </w:t>
      </w:r>
      <w:hyperlink r:id="rId11" w:tgtFrame="_blank" w:history="1">
        <w:r w:rsidRPr="00E44A09">
          <w:rPr>
            <w:rStyle w:val="aa"/>
            <w:sz w:val="18"/>
            <w:szCs w:val="18"/>
            <w:lang w:eastAsia="ru-RU"/>
          </w:rPr>
          <w:t>www.hsci.ru</w:t>
        </w:r>
      </w:hyperlink>
      <w:r w:rsidRPr="00E44A09">
        <w:rPr>
          <w:rStyle w:val="ae"/>
          <w:color w:val="222222"/>
          <w:sz w:val="18"/>
          <w:szCs w:val="18"/>
        </w:rPr>
        <w:t>) -</w:t>
      </w:r>
      <w:r w:rsidRPr="00E44A09">
        <w:rPr>
          <w:rStyle w:val="apple-converted-space"/>
          <w:b/>
          <w:bCs/>
          <w:color w:val="222222"/>
          <w:sz w:val="18"/>
          <w:szCs w:val="18"/>
        </w:rPr>
        <w:t> </w:t>
      </w:r>
      <w:r w:rsidRPr="00E44A09">
        <w:rPr>
          <w:color w:val="222222"/>
          <w:sz w:val="18"/>
          <w:szCs w:val="18"/>
        </w:rPr>
        <w:t xml:space="preserve">российская публичная биотехнологическая компания, основанная в 2003 году. </w:t>
      </w:r>
    </w:p>
    <w:p w:rsidR="000D5DAB" w:rsidRPr="00E44A09" w:rsidRDefault="000D5DAB" w:rsidP="000D5DAB">
      <w:pPr>
        <w:shd w:val="clear" w:color="auto" w:fill="FFFFFF"/>
        <w:spacing w:before="120"/>
        <w:ind w:right="-682"/>
        <w:jc w:val="both"/>
        <w:rPr>
          <w:sz w:val="18"/>
          <w:szCs w:val="18"/>
        </w:rPr>
      </w:pPr>
      <w:r w:rsidRPr="00E44A09">
        <w:rPr>
          <w:color w:val="222222"/>
          <w:sz w:val="18"/>
          <w:szCs w:val="18"/>
        </w:rPr>
        <w:t xml:space="preserve">Направления деятельности ИСКЧ включают научные исследования и разработки, а также коммерциализацию и продвижение на рынке собственных инновационных медицинских препаратов и услуг на основе клеточных, генных и </w:t>
      </w:r>
      <w:proofErr w:type="spellStart"/>
      <w:r w:rsidRPr="00E44A09">
        <w:rPr>
          <w:color w:val="222222"/>
          <w:sz w:val="18"/>
          <w:szCs w:val="18"/>
        </w:rPr>
        <w:t>постгеномных</w:t>
      </w:r>
      <w:proofErr w:type="spellEnd"/>
      <w:r w:rsidRPr="00E44A09">
        <w:rPr>
          <w:color w:val="222222"/>
          <w:sz w:val="18"/>
          <w:szCs w:val="18"/>
        </w:rPr>
        <w:t xml:space="preserve"> технологий. </w:t>
      </w:r>
      <w:r w:rsidRPr="00E44A09">
        <w:rPr>
          <w:sz w:val="18"/>
          <w:szCs w:val="18"/>
        </w:rPr>
        <w:t xml:space="preserve">Проекты компании охватывают пять основных отраслевых направлений: регенеративная медицина; </w:t>
      </w:r>
      <w:proofErr w:type="spellStart"/>
      <w:r w:rsidRPr="00E44A09">
        <w:rPr>
          <w:sz w:val="18"/>
          <w:szCs w:val="18"/>
        </w:rPr>
        <w:t>биострахование</w:t>
      </w:r>
      <w:proofErr w:type="spellEnd"/>
      <w:r w:rsidRPr="00E44A09">
        <w:rPr>
          <w:sz w:val="18"/>
          <w:szCs w:val="18"/>
        </w:rPr>
        <w:t xml:space="preserve">; медицинская генетика; генная терапия; </w:t>
      </w:r>
      <w:proofErr w:type="spellStart"/>
      <w:r w:rsidRPr="00E44A09">
        <w:rPr>
          <w:sz w:val="18"/>
          <w:szCs w:val="18"/>
        </w:rPr>
        <w:t>биофармацевтика</w:t>
      </w:r>
      <w:proofErr w:type="spellEnd"/>
      <w:r w:rsidRPr="00E44A09">
        <w:rPr>
          <w:sz w:val="18"/>
          <w:szCs w:val="18"/>
        </w:rPr>
        <w:t xml:space="preserve"> (в рамках международной партнерской программы «</w:t>
      </w:r>
      <w:proofErr w:type="spellStart"/>
      <w:r w:rsidRPr="00E44A09">
        <w:rPr>
          <w:sz w:val="18"/>
          <w:szCs w:val="18"/>
        </w:rPr>
        <w:t>СинБио</w:t>
      </w:r>
      <w:proofErr w:type="spellEnd"/>
      <w:r w:rsidRPr="00E44A09">
        <w:rPr>
          <w:sz w:val="18"/>
          <w:szCs w:val="18"/>
        </w:rPr>
        <w:t>»).</w:t>
      </w:r>
    </w:p>
    <w:p w:rsidR="000D5DAB" w:rsidRPr="00E44A09" w:rsidRDefault="000D5DAB" w:rsidP="000D5DAB">
      <w:pPr>
        <w:shd w:val="clear" w:color="auto" w:fill="FFFFFF"/>
        <w:spacing w:before="120"/>
        <w:ind w:right="-682"/>
        <w:jc w:val="both"/>
        <w:rPr>
          <w:color w:val="222222"/>
          <w:sz w:val="18"/>
          <w:szCs w:val="18"/>
        </w:rPr>
      </w:pPr>
      <w:r w:rsidRPr="00E44A09">
        <w:rPr>
          <w:color w:val="222222"/>
          <w:sz w:val="18"/>
          <w:szCs w:val="18"/>
        </w:rPr>
        <w:t>ИСКЧ принадлежит крупнейший в стране банк персонального хранения стволовых клеток пуповинной крови –</w:t>
      </w:r>
      <w:r w:rsidRPr="00E44A09">
        <w:rPr>
          <w:rStyle w:val="apple-converted-space"/>
          <w:color w:val="222222"/>
          <w:sz w:val="18"/>
          <w:szCs w:val="18"/>
        </w:rPr>
        <w:t> </w:t>
      </w:r>
      <w:proofErr w:type="spellStart"/>
      <w:r w:rsidRPr="00E44A09">
        <w:fldChar w:fldCharType="begin"/>
      </w:r>
      <w:r w:rsidRPr="00E44A09">
        <w:rPr>
          <w:sz w:val="18"/>
          <w:szCs w:val="18"/>
        </w:rPr>
        <w:instrText xml:space="preserve"> HYPERLINK "http://hsci.ru/produkty-i-uslugi/gemabank" \t "_blank" </w:instrText>
      </w:r>
      <w:r w:rsidRPr="00E44A09">
        <w:fldChar w:fldCharType="separate"/>
      </w:r>
      <w:r w:rsidRPr="00E44A09">
        <w:rPr>
          <w:rStyle w:val="aa"/>
          <w:sz w:val="18"/>
          <w:szCs w:val="18"/>
          <w:lang w:eastAsia="ru-RU"/>
        </w:rPr>
        <w:t>Гемабанк</w:t>
      </w:r>
      <w:proofErr w:type="spellEnd"/>
      <w:r w:rsidRPr="00E44A09">
        <w:rPr>
          <w:rStyle w:val="aa"/>
          <w:sz w:val="18"/>
          <w:szCs w:val="18"/>
          <w:lang w:eastAsia="ru-RU"/>
        </w:rPr>
        <w:fldChar w:fldCharType="end"/>
      </w:r>
      <w:r w:rsidRPr="00174E95">
        <w:rPr>
          <w:rStyle w:val="ae"/>
          <w:color w:val="222222"/>
          <w:sz w:val="18"/>
          <w:szCs w:val="18"/>
          <w:vertAlign w:val="superscript"/>
        </w:rPr>
        <w:t>®</w:t>
      </w:r>
      <w:r w:rsidRPr="00E44A09">
        <w:rPr>
          <w:color w:val="222222"/>
          <w:sz w:val="18"/>
          <w:szCs w:val="18"/>
        </w:rPr>
        <w:t>.</w:t>
      </w:r>
    </w:p>
    <w:p w:rsidR="000D5DAB" w:rsidRPr="004A28A7" w:rsidRDefault="000D5DAB" w:rsidP="000D5DAB">
      <w:pPr>
        <w:pStyle w:val="af0"/>
        <w:spacing w:before="120" w:beforeAutospacing="0" w:after="0" w:afterAutospacing="0"/>
        <w:ind w:right="-682"/>
        <w:jc w:val="both"/>
        <w:rPr>
          <w:sz w:val="18"/>
          <w:szCs w:val="18"/>
        </w:rPr>
      </w:pPr>
      <w:r w:rsidRPr="00E44A09">
        <w:rPr>
          <w:sz w:val="18"/>
          <w:szCs w:val="18"/>
        </w:rPr>
        <w:t xml:space="preserve">В 2012 году Компания вывела на рынок первый российский </w:t>
      </w:r>
      <w:proofErr w:type="spellStart"/>
      <w:r w:rsidRPr="00E44A09">
        <w:rPr>
          <w:sz w:val="18"/>
          <w:szCs w:val="18"/>
        </w:rPr>
        <w:t>геннотерапевтический</w:t>
      </w:r>
      <w:proofErr w:type="spellEnd"/>
      <w:r w:rsidRPr="00E44A09">
        <w:rPr>
          <w:sz w:val="18"/>
          <w:szCs w:val="18"/>
        </w:rPr>
        <w:t xml:space="preserve"> препарат для лечения ишемии нижних конечностей атеросклеротического генеза (</w:t>
      </w:r>
      <w:proofErr w:type="spellStart"/>
      <w:r w:rsidRPr="00E44A09">
        <w:fldChar w:fldCharType="begin"/>
      </w:r>
      <w:r w:rsidRPr="00E44A09">
        <w:rPr>
          <w:sz w:val="18"/>
          <w:szCs w:val="18"/>
        </w:rPr>
        <w:instrText xml:space="preserve"> HYPERLINK "http://hsci.ru/produkty-i-uslugi/neovaskulgen" </w:instrText>
      </w:r>
      <w:r w:rsidRPr="00E44A09">
        <w:fldChar w:fldCharType="separate"/>
      </w:r>
      <w:r w:rsidRPr="00E44A09">
        <w:rPr>
          <w:rStyle w:val="aa"/>
          <w:bCs/>
          <w:sz w:val="18"/>
          <w:szCs w:val="18"/>
        </w:rPr>
        <w:t>Неоваскулген</w:t>
      </w:r>
      <w:proofErr w:type="spellEnd"/>
      <w:r w:rsidRPr="00E44A09">
        <w:rPr>
          <w:rStyle w:val="aa"/>
          <w:bCs/>
          <w:sz w:val="18"/>
          <w:szCs w:val="18"/>
        </w:rPr>
        <w:fldChar w:fldCharType="end"/>
      </w:r>
      <w:r w:rsidRPr="00E44A09">
        <w:rPr>
          <w:sz w:val="18"/>
          <w:szCs w:val="18"/>
          <w:vertAlign w:val="superscript"/>
        </w:rPr>
        <w:t>®</w:t>
      </w:r>
      <w:r w:rsidRPr="00E44A09">
        <w:rPr>
          <w:sz w:val="18"/>
          <w:szCs w:val="18"/>
        </w:rPr>
        <w:t xml:space="preserve">), а также приступила к реализации социально-значимого проекта по созданию общероссийской сети </w:t>
      </w:r>
      <w:hyperlink r:id="rId12" w:history="1">
        <w:r w:rsidRPr="00E44A09">
          <w:rPr>
            <w:rStyle w:val="aa"/>
            <w:bCs/>
            <w:sz w:val="18"/>
            <w:szCs w:val="18"/>
          </w:rPr>
          <w:t>медико-генетических центров</w:t>
        </w:r>
      </w:hyperlink>
      <w:r w:rsidRPr="00E44A09">
        <w:rPr>
          <w:sz w:val="18"/>
          <w:szCs w:val="18"/>
        </w:rPr>
        <w:t xml:space="preserve"> </w:t>
      </w:r>
      <w:r>
        <w:rPr>
          <w:sz w:val="18"/>
          <w:szCs w:val="18"/>
        </w:rPr>
        <w:t xml:space="preserve">нового образца </w:t>
      </w:r>
      <w:r w:rsidRPr="00E44A09">
        <w:rPr>
          <w:sz w:val="18"/>
          <w:szCs w:val="18"/>
        </w:rPr>
        <w:t>с целью раннего выявления и профилактики  заболеваний</w:t>
      </w:r>
      <w:r>
        <w:rPr>
          <w:sz w:val="18"/>
          <w:szCs w:val="18"/>
        </w:rPr>
        <w:t xml:space="preserve"> с наследственным компонентом</w:t>
      </w:r>
      <w:r w:rsidRPr="00E44A09">
        <w:rPr>
          <w:sz w:val="18"/>
          <w:szCs w:val="18"/>
        </w:rPr>
        <w:t>.</w:t>
      </w:r>
      <w:r>
        <w:rPr>
          <w:sz w:val="18"/>
          <w:szCs w:val="18"/>
        </w:rPr>
        <w:t xml:space="preserve"> Со 2 квартала 2013 г. в МГЦ </w:t>
      </w:r>
      <w:proofErr w:type="spellStart"/>
      <w:r w:rsidRPr="00324EA2">
        <w:rPr>
          <w:i/>
          <w:sz w:val="18"/>
          <w:szCs w:val="18"/>
          <w:lang w:val="en-US"/>
        </w:rPr>
        <w:t>Genetico</w:t>
      </w:r>
      <w:proofErr w:type="spellEnd"/>
      <w:r>
        <w:rPr>
          <w:i/>
          <w:sz w:val="18"/>
          <w:szCs w:val="18"/>
        </w:rPr>
        <w:t xml:space="preserve"> </w:t>
      </w:r>
      <w:r w:rsidRPr="004A28A7">
        <w:rPr>
          <w:sz w:val="18"/>
          <w:szCs w:val="18"/>
        </w:rPr>
        <w:t>предоставляются услуги генетической диагностики и консультирования личным врачом-генетиком на основе использования ДНК-чипа «</w:t>
      </w:r>
      <w:proofErr w:type="spellStart"/>
      <w:r w:rsidRPr="004A28A7">
        <w:rPr>
          <w:sz w:val="18"/>
          <w:szCs w:val="18"/>
        </w:rPr>
        <w:t>Этноген</w:t>
      </w:r>
      <w:proofErr w:type="spellEnd"/>
      <w:r w:rsidRPr="004A28A7">
        <w:rPr>
          <w:sz w:val="18"/>
          <w:szCs w:val="18"/>
        </w:rPr>
        <w:t>».</w:t>
      </w:r>
    </w:p>
    <w:p w:rsidR="000D5DAB" w:rsidRPr="00E53C6B" w:rsidRDefault="000D5DAB" w:rsidP="000D5DAB">
      <w:pPr>
        <w:pStyle w:val="af0"/>
        <w:spacing w:before="120" w:beforeAutospacing="0" w:after="0" w:afterAutospacing="0"/>
        <w:ind w:right="-682"/>
        <w:jc w:val="both"/>
        <w:rPr>
          <w:sz w:val="18"/>
          <w:szCs w:val="18"/>
        </w:rPr>
      </w:pPr>
      <w:r w:rsidRPr="00E53C6B">
        <w:rPr>
          <w:sz w:val="18"/>
          <w:szCs w:val="18"/>
        </w:rPr>
        <w:t xml:space="preserve">Также в 2013 году, в новом лабораторно-производственном комплексе, ИСКЧ открывает лабораторию </w:t>
      </w:r>
      <w:proofErr w:type="spellStart"/>
      <w:r w:rsidRPr="00E53C6B">
        <w:rPr>
          <w:sz w:val="18"/>
          <w:szCs w:val="18"/>
        </w:rPr>
        <w:t>преимплантационной</w:t>
      </w:r>
      <w:proofErr w:type="spellEnd"/>
      <w:r w:rsidRPr="00E53C6B">
        <w:rPr>
          <w:sz w:val="18"/>
          <w:szCs w:val="18"/>
        </w:rPr>
        <w:t xml:space="preserve"> генетической диагностики (</w:t>
      </w:r>
      <w:hyperlink r:id="rId13" w:history="1">
        <w:r w:rsidRPr="00DA7975">
          <w:rPr>
            <w:rStyle w:val="aa"/>
            <w:bCs/>
            <w:sz w:val="18"/>
            <w:szCs w:val="18"/>
          </w:rPr>
          <w:t>PGD</w:t>
        </w:r>
      </w:hyperlink>
      <w:r w:rsidRPr="00DA7975">
        <w:rPr>
          <w:sz w:val="18"/>
          <w:szCs w:val="18"/>
        </w:rPr>
        <w:t>)</w:t>
      </w:r>
      <w:r w:rsidRPr="00E53C6B">
        <w:rPr>
          <w:sz w:val="18"/>
          <w:szCs w:val="18"/>
        </w:rPr>
        <w:t xml:space="preserve"> и банк репродуктивных клеток и тканей – </w:t>
      </w:r>
      <w:hyperlink r:id="rId14" w:history="1">
        <w:proofErr w:type="spellStart"/>
        <w:r w:rsidRPr="00DA7975">
          <w:rPr>
            <w:rStyle w:val="aa"/>
            <w:bCs/>
            <w:sz w:val="18"/>
            <w:szCs w:val="18"/>
          </w:rPr>
          <w:t>Репробанк</w:t>
        </w:r>
        <w:proofErr w:type="spellEnd"/>
      </w:hyperlink>
      <w:r w:rsidRPr="00E53C6B">
        <w:rPr>
          <w:sz w:val="18"/>
          <w:szCs w:val="18"/>
        </w:rPr>
        <w:t xml:space="preserve"> (персональное хранение/</w:t>
      </w:r>
      <w:proofErr w:type="spellStart"/>
      <w:r w:rsidRPr="00E53C6B">
        <w:rPr>
          <w:sz w:val="18"/>
          <w:szCs w:val="18"/>
        </w:rPr>
        <w:t>донация</w:t>
      </w:r>
      <w:proofErr w:type="spellEnd"/>
      <w:r w:rsidRPr="00E53C6B">
        <w:rPr>
          <w:sz w:val="18"/>
          <w:szCs w:val="18"/>
        </w:rPr>
        <w:t xml:space="preserve">). </w:t>
      </w:r>
    </w:p>
    <w:p w:rsidR="000D5DAB" w:rsidRPr="00E44A09" w:rsidRDefault="000D5DAB" w:rsidP="000D5DAB">
      <w:pPr>
        <w:pStyle w:val="af0"/>
        <w:spacing w:before="120" w:beforeAutospacing="0" w:after="0" w:afterAutospacing="0"/>
        <w:ind w:right="-682"/>
        <w:jc w:val="both"/>
        <w:rPr>
          <w:sz w:val="18"/>
          <w:szCs w:val="18"/>
        </w:rPr>
      </w:pPr>
      <w:r w:rsidRPr="00E44A09">
        <w:rPr>
          <w:sz w:val="18"/>
          <w:szCs w:val="18"/>
        </w:rPr>
        <w:t xml:space="preserve">На российском рынке эстетической медицины ИСКЧ c 2011 года </w:t>
      </w:r>
      <w:proofErr w:type="gramStart"/>
      <w:r w:rsidRPr="00E44A09">
        <w:rPr>
          <w:sz w:val="18"/>
          <w:szCs w:val="18"/>
        </w:rPr>
        <w:t>представлен</w:t>
      </w:r>
      <w:proofErr w:type="gramEnd"/>
      <w:r w:rsidRPr="00E44A09">
        <w:rPr>
          <w:sz w:val="18"/>
          <w:szCs w:val="18"/>
        </w:rPr>
        <w:t xml:space="preserve"> инновационной услугой </w:t>
      </w:r>
      <w:hyperlink r:id="rId15" w:history="1">
        <w:r w:rsidRPr="00E44A09">
          <w:rPr>
            <w:rStyle w:val="aa"/>
            <w:bCs/>
            <w:sz w:val="18"/>
            <w:szCs w:val="18"/>
          </w:rPr>
          <w:t>SPRS-терапия</w:t>
        </w:r>
      </w:hyperlink>
      <w:r w:rsidRPr="00E44A09">
        <w:rPr>
          <w:sz w:val="18"/>
          <w:szCs w:val="18"/>
        </w:rPr>
        <w:t xml:space="preserve"> (на основе зарегистрированной технологии применения </w:t>
      </w:r>
      <w:proofErr w:type="spellStart"/>
      <w:r w:rsidRPr="00E44A09">
        <w:rPr>
          <w:sz w:val="18"/>
          <w:szCs w:val="18"/>
        </w:rPr>
        <w:t>дермальных</w:t>
      </w:r>
      <w:proofErr w:type="spellEnd"/>
      <w:r w:rsidRPr="00E44A09">
        <w:rPr>
          <w:sz w:val="18"/>
          <w:szCs w:val="18"/>
        </w:rPr>
        <w:t xml:space="preserve"> </w:t>
      </w:r>
      <w:proofErr w:type="spellStart"/>
      <w:r w:rsidRPr="00E44A09">
        <w:rPr>
          <w:sz w:val="18"/>
          <w:szCs w:val="18"/>
        </w:rPr>
        <w:t>аутофибробластов</w:t>
      </w:r>
      <w:proofErr w:type="spellEnd"/>
      <w:r w:rsidRPr="00E44A09">
        <w:rPr>
          <w:sz w:val="18"/>
          <w:szCs w:val="18"/>
        </w:rPr>
        <w:t xml:space="preserve"> для коррекции возрастных и рубцовых дефектов кожи).</w:t>
      </w:r>
    </w:p>
    <w:p w:rsidR="000D5DAB" w:rsidRPr="00E44A09" w:rsidRDefault="000D5DAB" w:rsidP="000D5DAB">
      <w:pPr>
        <w:pStyle w:val="af0"/>
        <w:spacing w:before="120" w:beforeAutospacing="0" w:after="0" w:afterAutospacing="0"/>
        <w:ind w:right="-682"/>
        <w:jc w:val="both"/>
        <w:rPr>
          <w:sz w:val="18"/>
          <w:szCs w:val="18"/>
        </w:rPr>
      </w:pPr>
      <w:r w:rsidRPr="00E44A09">
        <w:rPr>
          <w:sz w:val="18"/>
          <w:szCs w:val="18"/>
        </w:rPr>
        <w:t xml:space="preserve">ИСКЧ – один из </w:t>
      </w:r>
      <w:proofErr w:type="spellStart"/>
      <w:r w:rsidRPr="00E44A09">
        <w:rPr>
          <w:sz w:val="18"/>
          <w:szCs w:val="18"/>
        </w:rPr>
        <w:t>соинвесторов</w:t>
      </w:r>
      <w:proofErr w:type="spellEnd"/>
      <w:r w:rsidRPr="00E44A09">
        <w:rPr>
          <w:sz w:val="18"/>
          <w:szCs w:val="18"/>
        </w:rPr>
        <w:t xml:space="preserve"> многостороннего проекта «</w:t>
      </w:r>
      <w:proofErr w:type="spellStart"/>
      <w:r w:rsidRPr="00E44A09">
        <w:fldChar w:fldCharType="begin"/>
      </w:r>
      <w:r w:rsidRPr="00E44A09">
        <w:rPr>
          <w:sz w:val="18"/>
          <w:szCs w:val="18"/>
        </w:rPr>
        <w:instrText xml:space="preserve"> HYPERLINK "http://hsci.ru/napravleniia/synbio" </w:instrText>
      </w:r>
      <w:r w:rsidRPr="00E44A09">
        <w:fldChar w:fldCharType="separate"/>
      </w:r>
      <w:r w:rsidRPr="00E44A09">
        <w:rPr>
          <w:rStyle w:val="aa"/>
          <w:bCs/>
          <w:sz w:val="18"/>
          <w:szCs w:val="18"/>
        </w:rPr>
        <w:t>СинБио</w:t>
      </w:r>
      <w:proofErr w:type="spellEnd"/>
      <w:r w:rsidRPr="00E44A09">
        <w:rPr>
          <w:rStyle w:val="aa"/>
          <w:bCs/>
          <w:sz w:val="18"/>
          <w:szCs w:val="18"/>
        </w:rPr>
        <w:fldChar w:fldCharType="end"/>
      </w:r>
      <w:r w:rsidRPr="00E44A09">
        <w:rPr>
          <w:sz w:val="18"/>
          <w:szCs w:val="18"/>
        </w:rPr>
        <w:t>», целью которого является разработка и производство новых уникальных лекарственных препаратов для внедрения на российском и мировом рынках. Проект «</w:t>
      </w:r>
      <w:proofErr w:type="spellStart"/>
      <w:r w:rsidRPr="00E44A09">
        <w:rPr>
          <w:sz w:val="18"/>
          <w:szCs w:val="18"/>
        </w:rPr>
        <w:t>СинБио</w:t>
      </w:r>
      <w:proofErr w:type="spellEnd"/>
      <w:r w:rsidRPr="00E44A09">
        <w:rPr>
          <w:sz w:val="18"/>
          <w:szCs w:val="18"/>
        </w:rPr>
        <w:t xml:space="preserve">» реализуется при участии ОАО «РОСНАНО» и ряда российских и международных </w:t>
      </w:r>
      <w:proofErr w:type="spellStart"/>
      <w:r w:rsidRPr="00E44A09">
        <w:rPr>
          <w:sz w:val="18"/>
          <w:szCs w:val="18"/>
        </w:rPr>
        <w:t>биофарм</w:t>
      </w:r>
      <w:proofErr w:type="spellEnd"/>
      <w:r w:rsidRPr="00E44A09">
        <w:rPr>
          <w:sz w:val="18"/>
          <w:szCs w:val="18"/>
        </w:rPr>
        <w:t>-компаний.</w:t>
      </w:r>
    </w:p>
    <w:p w:rsidR="000D5DAB" w:rsidRPr="00ED62D0" w:rsidRDefault="000D5DAB" w:rsidP="000D5DAB">
      <w:pPr>
        <w:shd w:val="clear" w:color="auto" w:fill="FFFFFF"/>
        <w:spacing w:before="120"/>
        <w:ind w:right="-628"/>
        <w:jc w:val="both"/>
        <w:rPr>
          <w:rStyle w:val="ae"/>
          <w:color w:val="222222"/>
          <w:sz w:val="18"/>
          <w:szCs w:val="18"/>
        </w:rPr>
      </w:pPr>
      <w:proofErr w:type="gramStart"/>
      <w:r w:rsidRPr="00E44A09">
        <w:rPr>
          <w:color w:val="222222"/>
          <w:sz w:val="18"/>
          <w:szCs w:val="18"/>
        </w:rPr>
        <w:t>В декабре 2009 года Институт Стволовых Клеток Человека провел первичное публичное размещение акций на ФБ ММВБ (</w:t>
      </w:r>
      <w:proofErr w:type="spellStart"/>
      <w:r w:rsidRPr="00E44A09">
        <w:rPr>
          <w:color w:val="222222"/>
          <w:sz w:val="18"/>
          <w:szCs w:val="18"/>
        </w:rPr>
        <w:t>тикер</w:t>
      </w:r>
      <w:proofErr w:type="spellEnd"/>
      <w:r w:rsidRPr="00E44A09">
        <w:rPr>
          <w:color w:val="222222"/>
          <w:sz w:val="18"/>
          <w:szCs w:val="18"/>
        </w:rPr>
        <w:t>:</w:t>
      </w:r>
      <w:proofErr w:type="gramEnd"/>
      <w:r w:rsidRPr="00E44A09">
        <w:rPr>
          <w:rStyle w:val="apple-converted-space"/>
          <w:color w:val="222222"/>
          <w:sz w:val="18"/>
          <w:szCs w:val="18"/>
        </w:rPr>
        <w:t> </w:t>
      </w:r>
      <w:hyperlink r:id="rId16" w:tgtFrame="_blank" w:history="1">
        <w:proofErr w:type="gramStart"/>
        <w:r w:rsidRPr="00E44A09">
          <w:rPr>
            <w:rStyle w:val="aa"/>
            <w:bCs/>
            <w:sz w:val="18"/>
            <w:szCs w:val="18"/>
          </w:rPr>
          <w:t>ISKJ</w:t>
        </w:r>
      </w:hyperlink>
      <w:r w:rsidRPr="00E44A09">
        <w:rPr>
          <w:color w:val="222222"/>
          <w:sz w:val="18"/>
          <w:szCs w:val="18"/>
        </w:rPr>
        <w:t>) – первое IPO биотехнологической компании в России.</w:t>
      </w:r>
      <w:proofErr w:type="gramEnd"/>
      <w:r w:rsidRPr="00E44A09">
        <w:rPr>
          <w:color w:val="222222"/>
          <w:sz w:val="18"/>
          <w:szCs w:val="18"/>
        </w:rPr>
        <w:t xml:space="preserve"> Размещение акций ИСКЧ открыло торги на новой площадке для инновационных и быстрорастущих компаний – Рынок Инноваций и Инвестиций (РИИ) ММВБ. Сегодня ФБ ММВБ входит в организационную структуру ОАО Московская Биржа (ОАО «Московская биржа ММВБ-РТС»).</w:t>
      </w:r>
    </w:p>
    <w:p w:rsidR="002B0392" w:rsidRDefault="002B0392" w:rsidP="00CE1BBA">
      <w:pPr>
        <w:ind w:right="-682"/>
        <w:jc w:val="both"/>
        <w:rPr>
          <w:b/>
          <w:sz w:val="18"/>
          <w:szCs w:val="18"/>
        </w:rPr>
      </w:pPr>
    </w:p>
    <w:bookmarkEnd w:id="1"/>
    <w:p w:rsidR="005D0241" w:rsidRPr="0068508E" w:rsidRDefault="005D0241" w:rsidP="005D0241">
      <w:pPr>
        <w:pStyle w:val="3"/>
        <w:ind w:left="0" w:right="-628"/>
        <w:jc w:val="center"/>
        <w:rPr>
          <w:color w:val="333333"/>
          <w:sz w:val="15"/>
          <w:szCs w:val="15"/>
        </w:rPr>
      </w:pPr>
      <w:r w:rsidRPr="0068508E">
        <w:rPr>
          <w:color w:val="333333"/>
          <w:sz w:val="15"/>
          <w:szCs w:val="15"/>
        </w:rPr>
        <w:t>***</w:t>
      </w:r>
    </w:p>
    <w:p w:rsidR="005D0241" w:rsidRPr="0068508E" w:rsidRDefault="005D0241" w:rsidP="005D0241">
      <w:pPr>
        <w:pStyle w:val="3"/>
        <w:ind w:left="0" w:right="-628"/>
        <w:rPr>
          <w:i/>
          <w:color w:val="333333"/>
          <w:sz w:val="15"/>
          <w:szCs w:val="15"/>
        </w:rPr>
      </w:pPr>
      <w:r w:rsidRPr="0068508E">
        <w:rPr>
          <w:i/>
          <w:color w:val="333333"/>
          <w:sz w:val="15"/>
          <w:szCs w:val="15"/>
        </w:rPr>
        <w:t>Некоторые заявления, присутствующие в настоящем пресс-релизе, являются заявлениями, содержащими прогноз относительно будущих событий.</w:t>
      </w:r>
    </w:p>
    <w:p w:rsidR="005D0241" w:rsidRPr="0068508E" w:rsidRDefault="005D0241" w:rsidP="005D0241">
      <w:pPr>
        <w:autoSpaceDE w:val="0"/>
        <w:autoSpaceDN w:val="0"/>
        <w:adjustRightInd w:val="0"/>
        <w:ind w:right="-628"/>
        <w:jc w:val="both"/>
        <w:rPr>
          <w:i/>
          <w:color w:val="333333"/>
          <w:sz w:val="15"/>
          <w:szCs w:val="15"/>
        </w:rPr>
      </w:pPr>
      <w:r w:rsidRPr="0068508E">
        <w:rPr>
          <w:i/>
          <w:color w:val="333333"/>
          <w:sz w:val="15"/>
          <w:szCs w:val="15"/>
        </w:rPr>
        <w:t xml:space="preserve">К таким заявлениям, в частности, могут относиться: </w:t>
      </w:r>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proofErr w:type="gramStart"/>
      <w:r w:rsidRPr="0068508E">
        <w:rPr>
          <w:i/>
          <w:color w:val="333333"/>
          <w:sz w:val="15"/>
          <w:szCs w:val="15"/>
        </w:rPr>
        <w:t xml:space="preserve">оценка будущих экономических показателей Компании: доходов, прибыли (убытка), прибыли (убытка) на акцию, дивидендов,  инвестиций, структуры капитала, показателей </w:t>
      </w:r>
      <w:proofErr w:type="spellStart"/>
      <w:r w:rsidRPr="0068508E">
        <w:rPr>
          <w:i/>
          <w:color w:val="333333"/>
          <w:sz w:val="15"/>
          <w:szCs w:val="15"/>
        </w:rPr>
        <w:t>маржинальности</w:t>
      </w:r>
      <w:proofErr w:type="spellEnd"/>
      <w:r w:rsidRPr="0068508E">
        <w:rPr>
          <w:i/>
          <w:color w:val="333333"/>
          <w:sz w:val="15"/>
          <w:szCs w:val="15"/>
        </w:rPr>
        <w:t>, а также иных финансовых и операционных показателей и соотношений;</w:t>
      </w:r>
      <w:proofErr w:type="gramEnd"/>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r w:rsidRPr="0068508E">
        <w:rPr>
          <w:i/>
          <w:color w:val="333333"/>
          <w:sz w:val="15"/>
          <w:szCs w:val="15"/>
        </w:rPr>
        <w:t>прогнозы относительно факторов, влияющих на текущую стоимость будущих денежных потоков;</w:t>
      </w:r>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r w:rsidRPr="0068508E">
        <w:rPr>
          <w:i/>
          <w:color w:val="333333"/>
          <w:sz w:val="15"/>
          <w:szCs w:val="15"/>
        </w:rPr>
        <w:t>планы, цели или задачи ОАО «ИСКЧ», в том числе относящиеся к продуктам и услугам;</w:t>
      </w:r>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r w:rsidRPr="0068508E">
        <w:rPr>
          <w:i/>
          <w:color w:val="333333"/>
          <w:sz w:val="15"/>
          <w:szCs w:val="15"/>
        </w:rPr>
        <w:t>планы по совершенствованию корпоративного управления;</w:t>
      </w:r>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r w:rsidRPr="0068508E">
        <w:rPr>
          <w:i/>
          <w:color w:val="333333"/>
          <w:sz w:val="15"/>
          <w:szCs w:val="15"/>
        </w:rPr>
        <w:t>будущие положение Компании на рынке;</w:t>
      </w:r>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r w:rsidRPr="0068508E">
        <w:rPr>
          <w:i/>
          <w:color w:val="333333"/>
          <w:sz w:val="15"/>
          <w:szCs w:val="15"/>
        </w:rPr>
        <w:t>ожидаемые отраслевые тенденции;</w:t>
      </w:r>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r w:rsidRPr="0068508E">
        <w:rPr>
          <w:i/>
          <w:color w:val="333333"/>
          <w:sz w:val="15"/>
          <w:szCs w:val="15"/>
        </w:rPr>
        <w:t>возможные регуляторные изменения и оценка влияния соответствующих нормативных актов на деятельность Компании;</w:t>
      </w:r>
    </w:p>
    <w:p w:rsidR="005D0241" w:rsidRPr="0068508E" w:rsidRDefault="005D0241" w:rsidP="002B0392">
      <w:pPr>
        <w:numPr>
          <w:ilvl w:val="0"/>
          <w:numId w:val="1"/>
        </w:numPr>
        <w:tabs>
          <w:tab w:val="clear" w:pos="1080"/>
          <w:tab w:val="num" w:pos="540"/>
        </w:tabs>
        <w:suppressAutoHyphens w:val="0"/>
        <w:autoSpaceDE w:val="0"/>
        <w:autoSpaceDN w:val="0"/>
        <w:adjustRightInd w:val="0"/>
        <w:spacing w:line="264" w:lineRule="auto"/>
        <w:ind w:left="0" w:right="-629" w:firstLine="0"/>
        <w:jc w:val="both"/>
        <w:rPr>
          <w:i/>
          <w:color w:val="333333"/>
          <w:sz w:val="15"/>
          <w:szCs w:val="15"/>
        </w:rPr>
      </w:pPr>
      <w:r w:rsidRPr="0068508E">
        <w:rPr>
          <w:i/>
          <w:color w:val="333333"/>
          <w:sz w:val="15"/>
          <w:szCs w:val="15"/>
        </w:rPr>
        <w:t>предпосылки, на которых основываются заявления.</w:t>
      </w:r>
    </w:p>
    <w:p w:rsidR="005D0241" w:rsidRPr="0068508E" w:rsidRDefault="005D0241" w:rsidP="005D0241">
      <w:pPr>
        <w:spacing w:before="120"/>
        <w:ind w:right="-628"/>
        <w:jc w:val="both"/>
        <w:rPr>
          <w:i/>
          <w:iCs/>
          <w:color w:val="333333"/>
          <w:sz w:val="15"/>
          <w:szCs w:val="15"/>
        </w:rPr>
      </w:pPr>
      <w:r w:rsidRPr="0068508E">
        <w:rPr>
          <w:i/>
          <w:iCs/>
          <w:color w:val="333333"/>
          <w:sz w:val="15"/>
          <w:szCs w:val="15"/>
        </w:rPr>
        <w:t>Указанные заявления подвержены влиянию рисков, фактора неопределенности и иных факторов, в результате которых фактические результаты могут существенно отличаться от тех результатов, которые прямо указаны в  пресс-релизе.</w:t>
      </w:r>
    </w:p>
    <w:p w:rsidR="005D0241" w:rsidRPr="0068508E" w:rsidRDefault="005D0241" w:rsidP="005D0241">
      <w:pPr>
        <w:spacing w:before="120"/>
        <w:ind w:right="-628"/>
        <w:jc w:val="both"/>
        <w:rPr>
          <w:i/>
          <w:color w:val="333333"/>
          <w:sz w:val="15"/>
          <w:szCs w:val="15"/>
        </w:rPr>
      </w:pPr>
      <w:r w:rsidRPr="0068508E">
        <w:rPr>
          <w:i/>
          <w:iCs/>
          <w:color w:val="333333"/>
          <w:sz w:val="15"/>
          <w:szCs w:val="15"/>
        </w:rPr>
        <w:t xml:space="preserve">Данные риски включают в себя возможность изменения хозяйственных и финансовых условий деятельности Компании и перспектив ее развития; возможность изменения политической и экономической ситуации в России и в мире; изменение существующего или будущего отраслевого  регулирования; возможность изменения российского законодательства; а также воздействие конкуренции и иных факторов. </w:t>
      </w:r>
      <w:r w:rsidRPr="0068508E">
        <w:rPr>
          <w:i/>
          <w:color w:val="333333"/>
          <w:sz w:val="15"/>
          <w:szCs w:val="15"/>
        </w:rPr>
        <w:t>Более детальный обзор данных факторов содержится в годовом отчете эмитента, а также иных публично раскрываемых документах Компании.</w:t>
      </w:r>
    </w:p>
    <w:p w:rsidR="005D0241" w:rsidRPr="0068508E" w:rsidRDefault="005D0241" w:rsidP="005D0241">
      <w:pPr>
        <w:spacing w:before="120"/>
        <w:ind w:right="-628"/>
        <w:jc w:val="both"/>
        <w:rPr>
          <w:i/>
          <w:iCs/>
          <w:color w:val="333333"/>
          <w:sz w:val="15"/>
          <w:szCs w:val="15"/>
        </w:rPr>
      </w:pPr>
      <w:r w:rsidRPr="0068508E">
        <w:rPr>
          <w:i/>
          <w:iCs/>
          <w:color w:val="333333"/>
          <w:sz w:val="15"/>
          <w:szCs w:val="15"/>
        </w:rPr>
        <w:t>Большинство из указанных факторов находится вне пределов контроля и возможности прогнозирования со стороны Компании. Поэтому, с учетом вышесказанного, Компания не рекомендует необоснованно полагаться на какие-либо высказывания относительно будущих событий,  приведенные в настоящем пресс-релизе. Компания не принимает на себя обязательств публично пересматривать данные прогнозы – ни с целью отразить события или обстоятельства, имевшие место после публикации настоящего пресс-релиза, ни с целью указать на непредвиденно возникшие события – за исключением тех случаев, когда это требуется в соответствии с применимым законодательством.</w:t>
      </w:r>
    </w:p>
    <w:p w:rsidR="005D0241" w:rsidRDefault="005D0241" w:rsidP="005D0241">
      <w:pPr>
        <w:spacing w:before="120"/>
        <w:ind w:right="-628"/>
        <w:jc w:val="both"/>
        <w:rPr>
          <w:i/>
          <w:iCs/>
          <w:color w:val="333333"/>
          <w:sz w:val="17"/>
          <w:szCs w:val="17"/>
        </w:rPr>
      </w:pPr>
    </w:p>
    <w:p w:rsidR="005D0241" w:rsidRPr="00C61D4D" w:rsidRDefault="005D0241" w:rsidP="00E44A09">
      <w:pPr>
        <w:spacing w:after="120"/>
        <w:jc w:val="both"/>
        <w:outlineLvl w:val="0"/>
        <w:rPr>
          <w:b/>
          <w:i/>
          <w:color w:val="333333"/>
          <w:sz w:val="20"/>
          <w:szCs w:val="20"/>
        </w:rPr>
      </w:pPr>
      <w:r w:rsidRPr="00C61D4D">
        <w:rPr>
          <w:b/>
          <w:i/>
          <w:color w:val="333333"/>
          <w:sz w:val="20"/>
          <w:szCs w:val="20"/>
        </w:rPr>
        <w:t>За дополнительной информацией просьба обращаться:</w:t>
      </w:r>
    </w:p>
    <w:tbl>
      <w:tblPr>
        <w:tblW w:w="10002" w:type="dxa"/>
        <w:tblInd w:w="108" w:type="dxa"/>
        <w:tblLayout w:type="fixed"/>
        <w:tblLook w:val="0000" w:firstRow="0" w:lastRow="0" w:firstColumn="0" w:lastColumn="0" w:noHBand="0" w:noVBand="0"/>
      </w:tblPr>
      <w:tblGrid>
        <w:gridCol w:w="5677"/>
        <w:gridCol w:w="4325"/>
      </w:tblGrid>
      <w:tr w:rsidR="005D0241" w:rsidRPr="00A1758E" w:rsidTr="00C61D4D">
        <w:trPr>
          <w:trHeight w:val="977"/>
        </w:trPr>
        <w:tc>
          <w:tcPr>
            <w:tcW w:w="5677" w:type="dxa"/>
          </w:tcPr>
          <w:p w:rsidR="005D0241" w:rsidRPr="00C61D4D" w:rsidRDefault="005D0241" w:rsidP="00CE1BBA">
            <w:pPr>
              <w:ind w:left="34" w:hanging="142"/>
              <w:rPr>
                <w:b/>
                <w:color w:val="333333"/>
                <w:sz w:val="20"/>
                <w:szCs w:val="20"/>
              </w:rPr>
            </w:pPr>
            <w:r w:rsidRPr="00C61D4D">
              <w:rPr>
                <w:b/>
                <w:color w:val="333333"/>
                <w:sz w:val="20"/>
                <w:szCs w:val="20"/>
              </w:rPr>
              <w:t>Директор по связям с инвесторами  ОАО «ИСКЧ»</w:t>
            </w:r>
          </w:p>
          <w:p w:rsidR="005D0241" w:rsidRPr="00C61D4D" w:rsidRDefault="00E44A09" w:rsidP="00CE1BBA">
            <w:pPr>
              <w:ind w:left="34" w:hanging="142"/>
              <w:rPr>
                <w:b/>
                <w:color w:val="333333"/>
                <w:sz w:val="20"/>
                <w:szCs w:val="20"/>
              </w:rPr>
            </w:pPr>
            <w:r w:rsidRPr="00C61D4D">
              <w:rPr>
                <w:b/>
                <w:color w:val="333333"/>
                <w:sz w:val="20"/>
                <w:szCs w:val="20"/>
                <w:lang w:val="en-US"/>
              </w:rPr>
              <w:t>C</w:t>
            </w:r>
            <w:proofErr w:type="spellStart"/>
            <w:r w:rsidR="005D0241" w:rsidRPr="00C61D4D">
              <w:rPr>
                <w:b/>
                <w:color w:val="333333"/>
                <w:sz w:val="20"/>
                <w:szCs w:val="20"/>
              </w:rPr>
              <w:t>ветлана</w:t>
            </w:r>
            <w:proofErr w:type="spellEnd"/>
            <w:r w:rsidR="005D0241" w:rsidRPr="00C61D4D">
              <w:rPr>
                <w:b/>
                <w:color w:val="333333"/>
                <w:sz w:val="20"/>
                <w:szCs w:val="20"/>
              </w:rPr>
              <w:t xml:space="preserve"> Самойлова</w:t>
            </w:r>
          </w:p>
          <w:p w:rsidR="005D0241" w:rsidRPr="00C61D4D" w:rsidRDefault="005D0241" w:rsidP="00CE1BBA">
            <w:pPr>
              <w:pStyle w:val="1"/>
              <w:spacing w:before="120"/>
              <w:ind w:left="34" w:hanging="142"/>
              <w:rPr>
                <w:rFonts w:ascii="Times New Roman" w:hAnsi="Times New Roman" w:cs="Times New Roman"/>
                <w:color w:val="333333"/>
                <w:sz w:val="20"/>
                <w:szCs w:val="20"/>
              </w:rPr>
            </w:pPr>
            <w:r w:rsidRPr="00C61D4D">
              <w:rPr>
                <w:rFonts w:ascii="Times New Roman" w:hAnsi="Times New Roman" w:cs="Times New Roman"/>
                <w:color w:val="333333"/>
                <w:sz w:val="20"/>
                <w:szCs w:val="20"/>
              </w:rPr>
              <w:t>Тел.: +7 (963) 679 3508</w:t>
            </w:r>
          </w:p>
          <w:p w:rsidR="005D0241" w:rsidRPr="00A1758E" w:rsidRDefault="005D0241" w:rsidP="00C61D4D">
            <w:pPr>
              <w:ind w:left="34" w:hanging="142"/>
              <w:rPr>
                <w:b/>
                <w:i/>
                <w:color w:val="333333"/>
                <w:sz w:val="20"/>
                <w:szCs w:val="20"/>
              </w:rPr>
            </w:pPr>
            <w:r w:rsidRPr="00C61D4D">
              <w:rPr>
                <w:b/>
                <w:i/>
                <w:color w:val="333333"/>
                <w:sz w:val="20"/>
                <w:szCs w:val="20"/>
                <w:lang w:val="en-US"/>
              </w:rPr>
              <w:t>e</w:t>
            </w:r>
            <w:r w:rsidRPr="00A1758E">
              <w:rPr>
                <w:b/>
                <w:i/>
                <w:color w:val="333333"/>
                <w:sz w:val="20"/>
                <w:szCs w:val="20"/>
              </w:rPr>
              <w:t>-</w:t>
            </w:r>
            <w:r w:rsidRPr="00C61D4D">
              <w:rPr>
                <w:b/>
                <w:i/>
                <w:color w:val="333333"/>
                <w:sz w:val="20"/>
                <w:szCs w:val="20"/>
                <w:lang w:val="en-US"/>
              </w:rPr>
              <w:t>mail</w:t>
            </w:r>
            <w:r w:rsidRPr="00A1758E">
              <w:rPr>
                <w:b/>
                <w:i/>
                <w:color w:val="333333"/>
                <w:sz w:val="20"/>
                <w:szCs w:val="20"/>
              </w:rPr>
              <w:t xml:space="preserve">: </w:t>
            </w:r>
            <w:hyperlink r:id="rId17" w:history="1">
              <w:r w:rsidR="00CE1BBA" w:rsidRPr="00C61D4D">
                <w:rPr>
                  <w:rStyle w:val="aa"/>
                  <w:b/>
                  <w:i/>
                  <w:sz w:val="20"/>
                  <w:szCs w:val="20"/>
                  <w:lang w:val="en-US"/>
                </w:rPr>
                <w:t>ssamoylova</w:t>
              </w:r>
              <w:r w:rsidR="00CE1BBA" w:rsidRPr="00A1758E">
                <w:rPr>
                  <w:rStyle w:val="aa"/>
                  <w:b/>
                  <w:i/>
                  <w:sz w:val="20"/>
                  <w:szCs w:val="20"/>
                </w:rPr>
                <w:t>@</w:t>
              </w:r>
              <w:r w:rsidR="00CE1BBA" w:rsidRPr="00C61D4D">
                <w:rPr>
                  <w:rStyle w:val="aa"/>
                  <w:b/>
                  <w:i/>
                  <w:sz w:val="20"/>
                  <w:szCs w:val="20"/>
                  <w:lang w:val="en-US"/>
                </w:rPr>
                <w:t>hsci</w:t>
              </w:r>
              <w:r w:rsidR="00CE1BBA" w:rsidRPr="00A1758E">
                <w:rPr>
                  <w:rStyle w:val="aa"/>
                  <w:b/>
                  <w:i/>
                  <w:sz w:val="20"/>
                  <w:szCs w:val="20"/>
                </w:rPr>
                <w:t>.</w:t>
              </w:r>
              <w:proofErr w:type="spellStart"/>
              <w:r w:rsidR="00CE1BBA" w:rsidRPr="00C61D4D">
                <w:rPr>
                  <w:rStyle w:val="aa"/>
                  <w:b/>
                  <w:i/>
                  <w:sz w:val="20"/>
                  <w:szCs w:val="20"/>
                  <w:lang w:val="en-US"/>
                </w:rPr>
                <w:t>ru</w:t>
              </w:r>
              <w:proofErr w:type="spellEnd"/>
            </w:hyperlink>
          </w:p>
        </w:tc>
        <w:tc>
          <w:tcPr>
            <w:tcW w:w="4325" w:type="dxa"/>
          </w:tcPr>
          <w:p w:rsidR="005D0241" w:rsidRPr="00C61D4D" w:rsidRDefault="005D0241" w:rsidP="00CE1BBA">
            <w:pPr>
              <w:ind w:left="162" w:hanging="162"/>
              <w:rPr>
                <w:b/>
                <w:color w:val="333333"/>
                <w:sz w:val="20"/>
                <w:szCs w:val="20"/>
              </w:rPr>
            </w:pPr>
            <w:r w:rsidRPr="00C61D4D">
              <w:rPr>
                <w:b/>
                <w:color w:val="333333"/>
                <w:sz w:val="20"/>
                <w:szCs w:val="20"/>
              </w:rPr>
              <w:t>Пресс-секретарь ОАО «ИСКЧ»</w:t>
            </w:r>
          </w:p>
          <w:p w:rsidR="005D0241" w:rsidRPr="00C61D4D" w:rsidRDefault="005D0241" w:rsidP="00CE1BBA">
            <w:pPr>
              <w:ind w:left="162" w:hanging="162"/>
              <w:rPr>
                <w:b/>
                <w:color w:val="333333"/>
                <w:sz w:val="20"/>
                <w:szCs w:val="20"/>
              </w:rPr>
            </w:pPr>
            <w:r w:rsidRPr="00C61D4D">
              <w:rPr>
                <w:b/>
                <w:color w:val="333333"/>
                <w:sz w:val="20"/>
                <w:szCs w:val="20"/>
              </w:rPr>
              <w:t>Елена Романова</w:t>
            </w:r>
          </w:p>
          <w:p w:rsidR="005D0241" w:rsidRPr="00C61D4D" w:rsidRDefault="005D0241" w:rsidP="00CE1BBA">
            <w:pPr>
              <w:pStyle w:val="1"/>
              <w:spacing w:before="120"/>
              <w:ind w:left="162" w:hanging="162"/>
              <w:rPr>
                <w:rFonts w:ascii="Times New Roman" w:hAnsi="Times New Roman" w:cs="Times New Roman"/>
                <w:color w:val="333333"/>
                <w:sz w:val="20"/>
                <w:szCs w:val="20"/>
                <w:lang w:val="en-US"/>
              </w:rPr>
            </w:pPr>
            <w:r w:rsidRPr="00C61D4D">
              <w:rPr>
                <w:rFonts w:ascii="Times New Roman" w:hAnsi="Times New Roman" w:cs="Times New Roman"/>
                <w:color w:val="333333"/>
                <w:sz w:val="20"/>
                <w:szCs w:val="20"/>
              </w:rPr>
              <w:t>Тел</w:t>
            </w:r>
            <w:r w:rsidRPr="00C61D4D">
              <w:rPr>
                <w:rFonts w:ascii="Times New Roman" w:hAnsi="Times New Roman" w:cs="Times New Roman"/>
                <w:color w:val="333333"/>
                <w:sz w:val="20"/>
                <w:szCs w:val="20"/>
                <w:lang w:val="en-US"/>
              </w:rPr>
              <w:t>.: +7 (916) 809 5559</w:t>
            </w:r>
          </w:p>
          <w:p w:rsidR="005D0241" w:rsidRPr="00C61D4D" w:rsidRDefault="005D0241" w:rsidP="000D5DAB">
            <w:pPr>
              <w:tabs>
                <w:tab w:val="left" w:pos="3014"/>
              </w:tabs>
              <w:ind w:left="162" w:hanging="162"/>
              <w:rPr>
                <w:b/>
                <w:i/>
                <w:color w:val="333333"/>
                <w:sz w:val="20"/>
                <w:szCs w:val="20"/>
                <w:lang w:val="en-US"/>
              </w:rPr>
            </w:pPr>
            <w:r w:rsidRPr="00C61D4D">
              <w:rPr>
                <w:b/>
                <w:i/>
                <w:color w:val="333333"/>
                <w:sz w:val="20"/>
                <w:szCs w:val="20"/>
                <w:lang w:val="en-US"/>
              </w:rPr>
              <w:t xml:space="preserve">e-mail: </w:t>
            </w:r>
            <w:hyperlink r:id="rId18" w:history="1">
              <w:r w:rsidR="000D5DAB" w:rsidRPr="00C61D4D">
                <w:rPr>
                  <w:rStyle w:val="aa"/>
                  <w:b/>
                  <w:i/>
                  <w:iCs/>
                  <w:sz w:val="20"/>
                  <w:szCs w:val="20"/>
                  <w:lang w:val="en-US"/>
                </w:rPr>
                <w:t>rea@gemabank.ru</w:t>
              </w:r>
            </w:hyperlink>
            <w:r w:rsidR="000D5DAB" w:rsidRPr="00C61D4D">
              <w:rPr>
                <w:rStyle w:val="aa"/>
                <w:b/>
                <w:i/>
                <w:iCs/>
                <w:color w:val="333333"/>
                <w:sz w:val="20"/>
                <w:szCs w:val="20"/>
                <w:lang w:val="en-US"/>
              </w:rPr>
              <w:t xml:space="preserve">  </w:t>
            </w:r>
          </w:p>
        </w:tc>
      </w:tr>
    </w:tbl>
    <w:p w:rsidR="00D83515" w:rsidRPr="008136F9" w:rsidRDefault="00D83515" w:rsidP="00C61D4D">
      <w:pPr>
        <w:pStyle w:val="af0"/>
        <w:jc w:val="both"/>
        <w:rPr>
          <w:lang w:val="en-US"/>
        </w:rPr>
      </w:pPr>
    </w:p>
    <w:sectPr w:rsidR="00D83515" w:rsidRPr="008136F9" w:rsidSect="00C30A62">
      <w:headerReference w:type="default" r:id="rId19"/>
      <w:footerReference w:type="default" r:id="rId20"/>
      <w:pgSz w:w="11906" w:h="16838"/>
      <w:pgMar w:top="2410" w:right="1106" w:bottom="1134" w:left="1134" w:header="36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47" w:rsidRDefault="00A84947">
      <w:r>
        <w:separator/>
      </w:r>
    </w:p>
  </w:endnote>
  <w:endnote w:type="continuationSeparator" w:id="0">
    <w:p w:rsidR="00A84947" w:rsidRDefault="00A8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E" w:rsidRDefault="00CE37BE">
    <w:pPr>
      <w:pStyle w:val="a7"/>
    </w:pPr>
    <w:r>
      <w:rPr>
        <w:noProof/>
        <w:lang w:eastAsia="ru-RU"/>
      </w:rPr>
      <w:drawing>
        <wp:anchor distT="0" distB="0" distL="114300" distR="114300" simplePos="0" relativeHeight="251658240" behindDoc="1" locked="0" layoutInCell="1" allowOverlap="1" wp14:anchorId="633D1781" wp14:editId="39BBA248">
          <wp:simplePos x="0" y="0"/>
          <wp:positionH relativeFrom="column">
            <wp:posOffset>-676275</wp:posOffset>
          </wp:positionH>
          <wp:positionV relativeFrom="paragraph">
            <wp:posOffset>-101600</wp:posOffset>
          </wp:positionV>
          <wp:extent cx="7524750" cy="723900"/>
          <wp:effectExtent l="0" t="0" r="0" b="0"/>
          <wp:wrapNone/>
          <wp:docPr id="2" name="Рисунок 2" descr="down_pres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_press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47" w:rsidRDefault="00A84947">
      <w:r>
        <w:separator/>
      </w:r>
    </w:p>
  </w:footnote>
  <w:footnote w:type="continuationSeparator" w:id="0">
    <w:p w:rsidR="00A84947" w:rsidRDefault="00A84947">
      <w:r>
        <w:continuationSeparator/>
      </w:r>
    </w:p>
  </w:footnote>
  <w:footnote w:id="1">
    <w:p w:rsidR="00CE37BE" w:rsidRPr="00E4521E" w:rsidRDefault="00CE37BE" w:rsidP="00545E17">
      <w:pPr>
        <w:pStyle w:val="ab"/>
        <w:ind w:right="-628"/>
        <w:jc w:val="both"/>
        <w:rPr>
          <w:sz w:val="16"/>
          <w:szCs w:val="16"/>
          <w:lang w:val="ru-RU"/>
        </w:rPr>
      </w:pPr>
      <w:r>
        <w:rPr>
          <w:rStyle w:val="ad"/>
        </w:rPr>
        <w:footnoteRef/>
      </w:r>
      <w:r w:rsidRPr="00851158">
        <w:rPr>
          <w:lang w:val="ru-RU"/>
        </w:rPr>
        <w:t xml:space="preserve"> </w:t>
      </w:r>
      <w:proofErr w:type="gramStart"/>
      <w:r w:rsidRPr="00E4521E">
        <w:rPr>
          <w:sz w:val="16"/>
          <w:szCs w:val="16"/>
        </w:rPr>
        <w:t>OIBDA</w:t>
      </w:r>
      <w:r w:rsidRPr="00E4521E">
        <w:rPr>
          <w:sz w:val="16"/>
          <w:szCs w:val="16"/>
          <w:lang w:val="ru-RU"/>
        </w:rPr>
        <w:t xml:space="preserve"> </w:t>
      </w:r>
      <w:r>
        <w:rPr>
          <w:sz w:val="16"/>
          <w:szCs w:val="16"/>
          <w:lang w:val="ru-RU"/>
        </w:rPr>
        <w:t xml:space="preserve">не является показателем, рассчитанным Компанией в соответствии с </w:t>
      </w:r>
      <w:r>
        <w:rPr>
          <w:sz w:val="16"/>
          <w:szCs w:val="16"/>
        </w:rPr>
        <w:t>IFRS</w:t>
      </w:r>
      <w:r w:rsidRPr="00740D1C">
        <w:rPr>
          <w:sz w:val="16"/>
          <w:szCs w:val="16"/>
          <w:lang w:val="ru-RU"/>
        </w:rPr>
        <w:t>.</w:t>
      </w:r>
      <w:proofErr w:type="gramEnd"/>
      <w:r w:rsidRPr="00740D1C">
        <w:rPr>
          <w:sz w:val="16"/>
          <w:szCs w:val="16"/>
          <w:lang w:val="ru-RU"/>
        </w:rPr>
        <w:t xml:space="preserve"> </w:t>
      </w:r>
      <w:r>
        <w:rPr>
          <w:sz w:val="16"/>
          <w:szCs w:val="16"/>
          <w:lang w:val="ru-RU"/>
        </w:rPr>
        <w:t>Компания</w:t>
      </w:r>
      <w:r w:rsidRPr="00740D1C">
        <w:rPr>
          <w:sz w:val="16"/>
          <w:szCs w:val="16"/>
          <w:lang w:val="ru-RU"/>
        </w:rPr>
        <w:t xml:space="preserve"> </w:t>
      </w:r>
      <w:r w:rsidRPr="00E4521E">
        <w:rPr>
          <w:sz w:val="16"/>
          <w:szCs w:val="16"/>
          <w:lang w:val="ru-RU"/>
        </w:rPr>
        <w:t>рассчитывает</w:t>
      </w:r>
      <w:r>
        <w:rPr>
          <w:sz w:val="16"/>
          <w:szCs w:val="16"/>
          <w:lang w:val="ru-RU"/>
        </w:rPr>
        <w:t xml:space="preserve"> </w:t>
      </w:r>
      <w:r>
        <w:rPr>
          <w:sz w:val="16"/>
          <w:szCs w:val="16"/>
        </w:rPr>
        <w:t>OIBDA</w:t>
      </w:r>
      <w:r w:rsidRPr="00302F6C">
        <w:rPr>
          <w:sz w:val="16"/>
          <w:szCs w:val="16"/>
          <w:lang w:val="ru-RU"/>
        </w:rPr>
        <w:t xml:space="preserve"> </w:t>
      </w:r>
      <w:r>
        <w:rPr>
          <w:sz w:val="16"/>
          <w:szCs w:val="16"/>
          <w:lang w:val="ru-RU"/>
        </w:rPr>
        <w:t>как операционную прибыль</w:t>
      </w:r>
      <w:r w:rsidRPr="00E4521E">
        <w:rPr>
          <w:sz w:val="16"/>
          <w:szCs w:val="16"/>
          <w:lang w:val="ru-RU"/>
        </w:rPr>
        <w:t xml:space="preserve"> без учета амортизации. </w:t>
      </w:r>
      <w:r>
        <w:rPr>
          <w:sz w:val="16"/>
          <w:szCs w:val="16"/>
          <w:lang w:val="ru-RU"/>
        </w:rPr>
        <w:t>Компания считает</w:t>
      </w:r>
      <w:r w:rsidRPr="00E4521E">
        <w:rPr>
          <w:sz w:val="16"/>
          <w:szCs w:val="16"/>
          <w:lang w:val="ru-RU"/>
        </w:rPr>
        <w:t xml:space="preserve">, что </w:t>
      </w:r>
      <w:r w:rsidRPr="00E4521E">
        <w:rPr>
          <w:sz w:val="16"/>
          <w:szCs w:val="16"/>
        </w:rPr>
        <w:t>OIBDA</w:t>
      </w:r>
      <w:r w:rsidRPr="00E4521E">
        <w:rPr>
          <w:sz w:val="16"/>
          <w:szCs w:val="16"/>
          <w:lang w:val="ru-RU"/>
        </w:rPr>
        <w:t xml:space="preserve"> дает важную информацию инвесторам, </w:t>
      </w:r>
      <w:r>
        <w:rPr>
          <w:sz w:val="16"/>
          <w:szCs w:val="16"/>
          <w:lang w:val="ru-RU"/>
        </w:rPr>
        <w:t>поскольку отражает состояние её бизнеса</w:t>
      </w:r>
      <w:r w:rsidRPr="00E4521E">
        <w:rPr>
          <w:sz w:val="16"/>
          <w:szCs w:val="16"/>
          <w:lang w:val="ru-RU"/>
        </w:rPr>
        <w:t>, включая  способность финансировать инвестиции, а также возможность привлекать заемные средства и обслуживать долг.</w:t>
      </w:r>
    </w:p>
    <w:p w:rsidR="00CE37BE" w:rsidRPr="00851158" w:rsidRDefault="00CE37BE" w:rsidP="00545E17">
      <w:pPr>
        <w:pStyle w:val="ab"/>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E" w:rsidRDefault="00CE37BE">
    <w:pPr>
      <w:pStyle w:val="a6"/>
      <w:tabs>
        <w:tab w:val="clear" w:pos="4677"/>
        <w:tab w:val="clear" w:pos="9355"/>
        <w:tab w:val="right" w:pos="10620"/>
      </w:tabs>
      <w:jc w:val="center"/>
    </w:pPr>
    <w:r>
      <w:rPr>
        <w:noProof/>
        <w:lang w:eastAsia="ru-RU"/>
      </w:rPr>
      <w:drawing>
        <wp:anchor distT="0" distB="0" distL="114300" distR="114300" simplePos="0" relativeHeight="251657216" behindDoc="1" locked="0" layoutInCell="1" allowOverlap="1" wp14:anchorId="5D004AB6" wp14:editId="6F3F1CB4">
          <wp:simplePos x="0" y="0"/>
          <wp:positionH relativeFrom="column">
            <wp:posOffset>-676275</wp:posOffset>
          </wp:positionH>
          <wp:positionV relativeFrom="paragraph">
            <wp:posOffset>-228600</wp:posOffset>
          </wp:positionV>
          <wp:extent cx="7546340" cy="1619250"/>
          <wp:effectExtent l="0" t="0" r="0" b="0"/>
          <wp:wrapNone/>
          <wp:docPr id="1" name="Рисунок 1" descr="haed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d_p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A30"/>
    <w:multiLevelType w:val="hybridMultilevel"/>
    <w:tmpl w:val="0AB2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21359D"/>
    <w:multiLevelType w:val="hybridMultilevel"/>
    <w:tmpl w:val="F3A6E6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0622E06"/>
    <w:multiLevelType w:val="hybridMultilevel"/>
    <w:tmpl w:val="CE9A7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D41C10"/>
    <w:multiLevelType w:val="hybridMultilevel"/>
    <w:tmpl w:val="70DAB3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59105D1"/>
    <w:multiLevelType w:val="hybridMultilevel"/>
    <w:tmpl w:val="BD5A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AD4F31"/>
    <w:multiLevelType w:val="hybridMultilevel"/>
    <w:tmpl w:val="8C38D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BC"/>
    <w:rsid w:val="00002D73"/>
    <w:rsid w:val="00002D89"/>
    <w:rsid w:val="00002DA2"/>
    <w:rsid w:val="00003352"/>
    <w:rsid w:val="00006CA6"/>
    <w:rsid w:val="00017998"/>
    <w:rsid w:val="00031CF8"/>
    <w:rsid w:val="00032C62"/>
    <w:rsid w:val="00040752"/>
    <w:rsid w:val="00051F22"/>
    <w:rsid w:val="0005642E"/>
    <w:rsid w:val="000905D6"/>
    <w:rsid w:val="000927E5"/>
    <w:rsid w:val="00093AB0"/>
    <w:rsid w:val="000947A3"/>
    <w:rsid w:val="00097735"/>
    <w:rsid w:val="000A03F0"/>
    <w:rsid w:val="000A2531"/>
    <w:rsid w:val="000A5002"/>
    <w:rsid w:val="000A729D"/>
    <w:rsid w:val="000B3236"/>
    <w:rsid w:val="000C7A10"/>
    <w:rsid w:val="000D2AC0"/>
    <w:rsid w:val="000D5DAB"/>
    <w:rsid w:val="000F48FA"/>
    <w:rsid w:val="001005A6"/>
    <w:rsid w:val="00101AD2"/>
    <w:rsid w:val="001102D4"/>
    <w:rsid w:val="00144D27"/>
    <w:rsid w:val="00150B0B"/>
    <w:rsid w:val="00163587"/>
    <w:rsid w:val="0016578C"/>
    <w:rsid w:val="00194DBA"/>
    <w:rsid w:val="001A067E"/>
    <w:rsid w:val="001A1D62"/>
    <w:rsid w:val="001A41EB"/>
    <w:rsid w:val="001A6AE4"/>
    <w:rsid w:val="001D26BC"/>
    <w:rsid w:val="001D4933"/>
    <w:rsid w:val="001D64A8"/>
    <w:rsid w:val="001F099A"/>
    <w:rsid w:val="001F185D"/>
    <w:rsid w:val="00205CFA"/>
    <w:rsid w:val="002161C7"/>
    <w:rsid w:val="00221EF6"/>
    <w:rsid w:val="002226FC"/>
    <w:rsid w:val="00225B7D"/>
    <w:rsid w:val="00234CC1"/>
    <w:rsid w:val="002351C3"/>
    <w:rsid w:val="00244582"/>
    <w:rsid w:val="0024551C"/>
    <w:rsid w:val="00254B09"/>
    <w:rsid w:val="002648A4"/>
    <w:rsid w:val="00270350"/>
    <w:rsid w:val="00280C12"/>
    <w:rsid w:val="00284736"/>
    <w:rsid w:val="00297B03"/>
    <w:rsid w:val="002A3BD5"/>
    <w:rsid w:val="002B0392"/>
    <w:rsid w:val="002B578D"/>
    <w:rsid w:val="002C0309"/>
    <w:rsid w:val="002C53E1"/>
    <w:rsid w:val="002E5282"/>
    <w:rsid w:val="002F0514"/>
    <w:rsid w:val="002F4098"/>
    <w:rsid w:val="00304759"/>
    <w:rsid w:val="00307365"/>
    <w:rsid w:val="00307F4A"/>
    <w:rsid w:val="00314790"/>
    <w:rsid w:val="003164F7"/>
    <w:rsid w:val="00322AFB"/>
    <w:rsid w:val="00323101"/>
    <w:rsid w:val="00324EA2"/>
    <w:rsid w:val="00325A07"/>
    <w:rsid w:val="00331B9C"/>
    <w:rsid w:val="00331F40"/>
    <w:rsid w:val="00332EBD"/>
    <w:rsid w:val="003452C4"/>
    <w:rsid w:val="00352D98"/>
    <w:rsid w:val="00353479"/>
    <w:rsid w:val="003607F8"/>
    <w:rsid w:val="00361A2F"/>
    <w:rsid w:val="00380D8D"/>
    <w:rsid w:val="00392C17"/>
    <w:rsid w:val="003A3ACF"/>
    <w:rsid w:val="003B05BE"/>
    <w:rsid w:val="003B459A"/>
    <w:rsid w:val="003C40D0"/>
    <w:rsid w:val="003C4A28"/>
    <w:rsid w:val="003D25DD"/>
    <w:rsid w:val="003D2EF7"/>
    <w:rsid w:val="003D72D1"/>
    <w:rsid w:val="003E64E5"/>
    <w:rsid w:val="003F1C60"/>
    <w:rsid w:val="0040562A"/>
    <w:rsid w:val="004077CC"/>
    <w:rsid w:val="00412CE8"/>
    <w:rsid w:val="004224D2"/>
    <w:rsid w:val="004253BE"/>
    <w:rsid w:val="00435CB3"/>
    <w:rsid w:val="00437710"/>
    <w:rsid w:val="0044770B"/>
    <w:rsid w:val="0044777C"/>
    <w:rsid w:val="00456355"/>
    <w:rsid w:val="00457E82"/>
    <w:rsid w:val="00471047"/>
    <w:rsid w:val="00476D89"/>
    <w:rsid w:val="00482E98"/>
    <w:rsid w:val="00495524"/>
    <w:rsid w:val="004A28A7"/>
    <w:rsid w:val="004C0483"/>
    <w:rsid w:val="004C6EC4"/>
    <w:rsid w:val="004D0C06"/>
    <w:rsid w:val="004D1FF7"/>
    <w:rsid w:val="004D70F8"/>
    <w:rsid w:val="004E5DBC"/>
    <w:rsid w:val="004F4F12"/>
    <w:rsid w:val="004F581A"/>
    <w:rsid w:val="004F79A2"/>
    <w:rsid w:val="00501D57"/>
    <w:rsid w:val="005044D7"/>
    <w:rsid w:val="0051051C"/>
    <w:rsid w:val="005113B0"/>
    <w:rsid w:val="005171E5"/>
    <w:rsid w:val="005248F0"/>
    <w:rsid w:val="00525615"/>
    <w:rsid w:val="00530685"/>
    <w:rsid w:val="00545E17"/>
    <w:rsid w:val="00547352"/>
    <w:rsid w:val="0056073C"/>
    <w:rsid w:val="00565F6E"/>
    <w:rsid w:val="00570A78"/>
    <w:rsid w:val="00574172"/>
    <w:rsid w:val="0058439C"/>
    <w:rsid w:val="00586D81"/>
    <w:rsid w:val="005A47DA"/>
    <w:rsid w:val="005B1CDD"/>
    <w:rsid w:val="005B382E"/>
    <w:rsid w:val="005B5655"/>
    <w:rsid w:val="005B5EE9"/>
    <w:rsid w:val="005D0241"/>
    <w:rsid w:val="005D1B7A"/>
    <w:rsid w:val="005D694D"/>
    <w:rsid w:val="005E22C4"/>
    <w:rsid w:val="005E22CD"/>
    <w:rsid w:val="005F1E5A"/>
    <w:rsid w:val="006105F1"/>
    <w:rsid w:val="00624C60"/>
    <w:rsid w:val="006323E0"/>
    <w:rsid w:val="00634996"/>
    <w:rsid w:val="00637E78"/>
    <w:rsid w:val="006445B5"/>
    <w:rsid w:val="00651997"/>
    <w:rsid w:val="00651E19"/>
    <w:rsid w:val="006547E3"/>
    <w:rsid w:val="0066270F"/>
    <w:rsid w:val="00665E72"/>
    <w:rsid w:val="006663BC"/>
    <w:rsid w:val="00674BC9"/>
    <w:rsid w:val="006759DC"/>
    <w:rsid w:val="0067689F"/>
    <w:rsid w:val="00676991"/>
    <w:rsid w:val="0068508E"/>
    <w:rsid w:val="0068626B"/>
    <w:rsid w:val="006A565F"/>
    <w:rsid w:val="006A5C7C"/>
    <w:rsid w:val="006C507B"/>
    <w:rsid w:val="006C52CD"/>
    <w:rsid w:val="006D0415"/>
    <w:rsid w:val="006E63C4"/>
    <w:rsid w:val="0073149A"/>
    <w:rsid w:val="00731F90"/>
    <w:rsid w:val="00733615"/>
    <w:rsid w:val="00733B32"/>
    <w:rsid w:val="007350EB"/>
    <w:rsid w:val="00745EB2"/>
    <w:rsid w:val="007467EF"/>
    <w:rsid w:val="00747012"/>
    <w:rsid w:val="007470A5"/>
    <w:rsid w:val="00753D56"/>
    <w:rsid w:val="007610F4"/>
    <w:rsid w:val="0076153F"/>
    <w:rsid w:val="00766EE9"/>
    <w:rsid w:val="00766F4F"/>
    <w:rsid w:val="00771639"/>
    <w:rsid w:val="007724FC"/>
    <w:rsid w:val="00773E00"/>
    <w:rsid w:val="00777075"/>
    <w:rsid w:val="00793576"/>
    <w:rsid w:val="007B0A36"/>
    <w:rsid w:val="007B6367"/>
    <w:rsid w:val="007C1064"/>
    <w:rsid w:val="007D302D"/>
    <w:rsid w:val="007D5F26"/>
    <w:rsid w:val="007F1D65"/>
    <w:rsid w:val="007F4ABA"/>
    <w:rsid w:val="007F58F2"/>
    <w:rsid w:val="008136F9"/>
    <w:rsid w:val="008217E9"/>
    <w:rsid w:val="0083038E"/>
    <w:rsid w:val="00840C21"/>
    <w:rsid w:val="00844C2A"/>
    <w:rsid w:val="00845FF5"/>
    <w:rsid w:val="00847714"/>
    <w:rsid w:val="00855376"/>
    <w:rsid w:val="008757CF"/>
    <w:rsid w:val="0089707A"/>
    <w:rsid w:val="008B495B"/>
    <w:rsid w:val="008B4D92"/>
    <w:rsid w:val="008B712F"/>
    <w:rsid w:val="008D05AD"/>
    <w:rsid w:val="008D1223"/>
    <w:rsid w:val="008D14EA"/>
    <w:rsid w:val="008D1B60"/>
    <w:rsid w:val="008E7C95"/>
    <w:rsid w:val="008F74D1"/>
    <w:rsid w:val="008F799F"/>
    <w:rsid w:val="00900B4A"/>
    <w:rsid w:val="0090117B"/>
    <w:rsid w:val="009109AC"/>
    <w:rsid w:val="00912923"/>
    <w:rsid w:val="009163A5"/>
    <w:rsid w:val="00925D8D"/>
    <w:rsid w:val="00933DE3"/>
    <w:rsid w:val="00943648"/>
    <w:rsid w:val="00946434"/>
    <w:rsid w:val="00947EA9"/>
    <w:rsid w:val="0096018D"/>
    <w:rsid w:val="00960C4A"/>
    <w:rsid w:val="00961329"/>
    <w:rsid w:val="00972CEE"/>
    <w:rsid w:val="00982A02"/>
    <w:rsid w:val="009846C5"/>
    <w:rsid w:val="00991068"/>
    <w:rsid w:val="009A3A10"/>
    <w:rsid w:val="009B0229"/>
    <w:rsid w:val="009B0423"/>
    <w:rsid w:val="009B4BA2"/>
    <w:rsid w:val="009B4F1D"/>
    <w:rsid w:val="009C4699"/>
    <w:rsid w:val="009C6991"/>
    <w:rsid w:val="009D3729"/>
    <w:rsid w:val="009D5140"/>
    <w:rsid w:val="009D6064"/>
    <w:rsid w:val="009F198E"/>
    <w:rsid w:val="009F23EF"/>
    <w:rsid w:val="009F299F"/>
    <w:rsid w:val="00A10DFE"/>
    <w:rsid w:val="00A14A66"/>
    <w:rsid w:val="00A1758E"/>
    <w:rsid w:val="00A41E2A"/>
    <w:rsid w:val="00A457AF"/>
    <w:rsid w:val="00A721CB"/>
    <w:rsid w:val="00A73AE4"/>
    <w:rsid w:val="00A75B38"/>
    <w:rsid w:val="00A80B80"/>
    <w:rsid w:val="00A82EDF"/>
    <w:rsid w:val="00A84947"/>
    <w:rsid w:val="00A903D2"/>
    <w:rsid w:val="00A90DC0"/>
    <w:rsid w:val="00AA221D"/>
    <w:rsid w:val="00AC4BE4"/>
    <w:rsid w:val="00AD059E"/>
    <w:rsid w:val="00AD5E8A"/>
    <w:rsid w:val="00AD6964"/>
    <w:rsid w:val="00AF2E96"/>
    <w:rsid w:val="00AF56EC"/>
    <w:rsid w:val="00B04892"/>
    <w:rsid w:val="00B107D1"/>
    <w:rsid w:val="00B25B81"/>
    <w:rsid w:val="00B260EA"/>
    <w:rsid w:val="00B40073"/>
    <w:rsid w:val="00B4020C"/>
    <w:rsid w:val="00B5516F"/>
    <w:rsid w:val="00B5555F"/>
    <w:rsid w:val="00B954A8"/>
    <w:rsid w:val="00BA3224"/>
    <w:rsid w:val="00BA5367"/>
    <w:rsid w:val="00BA6D05"/>
    <w:rsid w:val="00BB7ECE"/>
    <w:rsid w:val="00BC043F"/>
    <w:rsid w:val="00BC1BC7"/>
    <w:rsid w:val="00BC6F04"/>
    <w:rsid w:val="00BE2334"/>
    <w:rsid w:val="00BE69F8"/>
    <w:rsid w:val="00BF280F"/>
    <w:rsid w:val="00BF2C80"/>
    <w:rsid w:val="00C077E8"/>
    <w:rsid w:val="00C1071A"/>
    <w:rsid w:val="00C15D46"/>
    <w:rsid w:val="00C24DD5"/>
    <w:rsid w:val="00C30A62"/>
    <w:rsid w:val="00C34751"/>
    <w:rsid w:val="00C41316"/>
    <w:rsid w:val="00C43FA3"/>
    <w:rsid w:val="00C44C2B"/>
    <w:rsid w:val="00C46F39"/>
    <w:rsid w:val="00C61D4D"/>
    <w:rsid w:val="00C63D83"/>
    <w:rsid w:val="00C73024"/>
    <w:rsid w:val="00C77982"/>
    <w:rsid w:val="00C84879"/>
    <w:rsid w:val="00C87583"/>
    <w:rsid w:val="00C90D1D"/>
    <w:rsid w:val="00C92A7A"/>
    <w:rsid w:val="00C93252"/>
    <w:rsid w:val="00C94644"/>
    <w:rsid w:val="00CA31B2"/>
    <w:rsid w:val="00CB0B97"/>
    <w:rsid w:val="00CB7F53"/>
    <w:rsid w:val="00CD0F9C"/>
    <w:rsid w:val="00CD515D"/>
    <w:rsid w:val="00CE1BBA"/>
    <w:rsid w:val="00CE37BE"/>
    <w:rsid w:val="00CF68A0"/>
    <w:rsid w:val="00D43E0F"/>
    <w:rsid w:val="00D56518"/>
    <w:rsid w:val="00D64995"/>
    <w:rsid w:val="00D72EE7"/>
    <w:rsid w:val="00D7559B"/>
    <w:rsid w:val="00D81F53"/>
    <w:rsid w:val="00D83515"/>
    <w:rsid w:val="00D96610"/>
    <w:rsid w:val="00D96DDA"/>
    <w:rsid w:val="00DA03E6"/>
    <w:rsid w:val="00DA091E"/>
    <w:rsid w:val="00DA2674"/>
    <w:rsid w:val="00DA61B3"/>
    <w:rsid w:val="00DB02C2"/>
    <w:rsid w:val="00DB47AB"/>
    <w:rsid w:val="00DD5555"/>
    <w:rsid w:val="00DD6301"/>
    <w:rsid w:val="00DE068C"/>
    <w:rsid w:val="00E20E33"/>
    <w:rsid w:val="00E229B0"/>
    <w:rsid w:val="00E230A5"/>
    <w:rsid w:val="00E2330D"/>
    <w:rsid w:val="00E25F21"/>
    <w:rsid w:val="00E4385E"/>
    <w:rsid w:val="00E44A09"/>
    <w:rsid w:val="00E51476"/>
    <w:rsid w:val="00E5231E"/>
    <w:rsid w:val="00E52B3A"/>
    <w:rsid w:val="00E62A79"/>
    <w:rsid w:val="00E65B8B"/>
    <w:rsid w:val="00E8664F"/>
    <w:rsid w:val="00E94DFC"/>
    <w:rsid w:val="00E96CAF"/>
    <w:rsid w:val="00E9722B"/>
    <w:rsid w:val="00EB0A5E"/>
    <w:rsid w:val="00EB1BD9"/>
    <w:rsid w:val="00EC66CC"/>
    <w:rsid w:val="00ED01B1"/>
    <w:rsid w:val="00ED5CDB"/>
    <w:rsid w:val="00EE2C14"/>
    <w:rsid w:val="00F11812"/>
    <w:rsid w:val="00F36E53"/>
    <w:rsid w:val="00F36EC0"/>
    <w:rsid w:val="00F46358"/>
    <w:rsid w:val="00F57AB0"/>
    <w:rsid w:val="00F62F0D"/>
    <w:rsid w:val="00F71313"/>
    <w:rsid w:val="00F71B4A"/>
    <w:rsid w:val="00F77303"/>
    <w:rsid w:val="00F8775C"/>
    <w:rsid w:val="00F93CFD"/>
    <w:rsid w:val="00F94C5A"/>
    <w:rsid w:val="00FA159A"/>
    <w:rsid w:val="00FA568A"/>
    <w:rsid w:val="00FB6144"/>
    <w:rsid w:val="00FB6350"/>
    <w:rsid w:val="00FE7158"/>
    <w:rsid w:val="00FF3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5D0241"/>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ody Text Indent"/>
    <w:basedOn w:val="a"/>
    <w:link w:val="a9"/>
    <w:rsid w:val="005D0241"/>
    <w:pPr>
      <w:spacing w:after="120"/>
      <w:ind w:left="283"/>
    </w:pPr>
  </w:style>
  <w:style w:type="character" w:customStyle="1" w:styleId="a9">
    <w:name w:val="Основной текст с отступом Знак"/>
    <w:link w:val="a8"/>
    <w:rsid w:val="005D0241"/>
    <w:rPr>
      <w:sz w:val="24"/>
      <w:szCs w:val="24"/>
      <w:lang w:eastAsia="ar-SA"/>
    </w:rPr>
  </w:style>
  <w:style w:type="character" w:customStyle="1" w:styleId="10">
    <w:name w:val="Заголовок 1 Знак"/>
    <w:link w:val="1"/>
    <w:rsid w:val="005D0241"/>
    <w:rPr>
      <w:rFonts w:ascii="Arial" w:hAnsi="Arial" w:cs="Arial"/>
      <w:b/>
      <w:bCs/>
      <w:kern w:val="32"/>
      <w:sz w:val="32"/>
      <w:szCs w:val="32"/>
    </w:rPr>
  </w:style>
  <w:style w:type="paragraph" w:styleId="3">
    <w:name w:val="Body Text Indent 3"/>
    <w:basedOn w:val="a"/>
    <w:link w:val="30"/>
    <w:rsid w:val="005D0241"/>
    <w:pPr>
      <w:spacing w:after="120"/>
      <w:ind w:left="283"/>
    </w:pPr>
    <w:rPr>
      <w:sz w:val="16"/>
      <w:szCs w:val="16"/>
    </w:rPr>
  </w:style>
  <w:style w:type="character" w:customStyle="1" w:styleId="30">
    <w:name w:val="Основной текст с отступом 3 Знак"/>
    <w:link w:val="3"/>
    <w:rsid w:val="005D0241"/>
    <w:rPr>
      <w:sz w:val="16"/>
      <w:szCs w:val="16"/>
      <w:lang w:eastAsia="ar-SA"/>
    </w:rPr>
  </w:style>
  <w:style w:type="character" w:styleId="aa">
    <w:name w:val="Hyperlink"/>
    <w:rsid w:val="005D0241"/>
    <w:rPr>
      <w:color w:val="0000FF"/>
      <w:u w:val="single"/>
    </w:rPr>
  </w:style>
  <w:style w:type="paragraph" w:styleId="ab">
    <w:name w:val="footnote text"/>
    <w:basedOn w:val="a"/>
    <w:link w:val="ac"/>
    <w:rsid w:val="005D0241"/>
    <w:pPr>
      <w:suppressAutoHyphens w:val="0"/>
    </w:pPr>
    <w:rPr>
      <w:sz w:val="20"/>
      <w:szCs w:val="20"/>
      <w:lang w:val="en-US" w:eastAsia="en-US"/>
    </w:rPr>
  </w:style>
  <w:style w:type="character" w:customStyle="1" w:styleId="ac">
    <w:name w:val="Текст сноски Знак"/>
    <w:link w:val="ab"/>
    <w:rsid w:val="005D0241"/>
    <w:rPr>
      <w:lang w:val="en-US" w:eastAsia="en-US"/>
    </w:rPr>
  </w:style>
  <w:style w:type="character" w:styleId="ad">
    <w:name w:val="footnote reference"/>
    <w:rsid w:val="005D0241"/>
    <w:rPr>
      <w:vertAlign w:val="superscript"/>
    </w:rPr>
  </w:style>
  <w:style w:type="character" w:styleId="ae">
    <w:name w:val="Strong"/>
    <w:uiPriority w:val="22"/>
    <w:qFormat/>
    <w:rsid w:val="005D0241"/>
    <w:rPr>
      <w:b/>
      <w:bCs/>
    </w:rPr>
  </w:style>
  <w:style w:type="paragraph" w:styleId="af">
    <w:name w:val="No Spacing"/>
    <w:basedOn w:val="a"/>
    <w:qFormat/>
    <w:rsid w:val="005D0241"/>
    <w:pPr>
      <w:suppressAutoHyphens w:val="0"/>
    </w:pPr>
    <w:rPr>
      <w:rFonts w:ascii="Calibri" w:eastAsia="Calibri" w:hAnsi="Calibri"/>
      <w:i/>
      <w:iCs/>
      <w:sz w:val="20"/>
      <w:szCs w:val="20"/>
      <w:lang w:val="en-US" w:eastAsia="en-US" w:bidi="en-US"/>
    </w:rPr>
  </w:style>
  <w:style w:type="character" w:customStyle="1" w:styleId="Subst">
    <w:name w:val="Subst"/>
    <w:uiPriority w:val="99"/>
    <w:rsid w:val="005D0241"/>
    <w:rPr>
      <w:b/>
      <w:bCs w:val="0"/>
      <w:i/>
      <w:iCs w:val="0"/>
    </w:rPr>
  </w:style>
  <w:style w:type="character" w:customStyle="1" w:styleId="style13359975970000000322s27">
    <w:name w:val="style_13359975970000000322s27"/>
    <w:rsid w:val="005D0241"/>
  </w:style>
  <w:style w:type="paragraph" w:styleId="af0">
    <w:name w:val="Normal (Web)"/>
    <w:aliases w:val="Char Char Char Char Char Char Char Char Char Char Char Char Char Char Char Char Char Char Char, Char Char Char Char Char Char Char Char Char Char Char Char Char Char Char Char Char Char Char"/>
    <w:basedOn w:val="a"/>
    <w:link w:val="af1"/>
    <w:uiPriority w:val="99"/>
    <w:unhideWhenUsed/>
    <w:rsid w:val="005D0241"/>
    <w:pPr>
      <w:suppressAutoHyphens w:val="0"/>
      <w:spacing w:before="100" w:beforeAutospacing="1" w:after="100" w:afterAutospacing="1"/>
    </w:pPr>
    <w:rPr>
      <w:lang w:eastAsia="ru-RU"/>
    </w:rPr>
  </w:style>
  <w:style w:type="character" w:customStyle="1" w:styleId="af1">
    <w:name w:val="Обычный (веб) Знак"/>
    <w:aliases w:val="Char Char Char Char Char Char Char Char Char Char Char Char Char Char Char Char Char Char Char Знак, Char Char Char Char Char Char Char Char Char Char Char Char Char Char Char Char Char Char Char Знак"/>
    <w:link w:val="af0"/>
    <w:uiPriority w:val="99"/>
    <w:locked/>
    <w:rsid w:val="005D0241"/>
    <w:rPr>
      <w:sz w:val="24"/>
      <w:szCs w:val="24"/>
    </w:rPr>
  </w:style>
  <w:style w:type="character" w:customStyle="1" w:styleId="apple-converted-space">
    <w:name w:val="apple-converted-space"/>
    <w:basedOn w:val="a0"/>
    <w:rsid w:val="00E44A09"/>
  </w:style>
  <w:style w:type="paragraph" w:customStyle="1" w:styleId="af2">
    <w:name w:val="Абзац"/>
    <w:basedOn w:val="a"/>
    <w:link w:val="af3"/>
    <w:qFormat/>
    <w:rsid w:val="00E4385E"/>
    <w:pPr>
      <w:suppressAutoHyphens w:val="0"/>
      <w:spacing w:line="276" w:lineRule="auto"/>
      <w:ind w:firstLine="709"/>
      <w:jc w:val="both"/>
    </w:pPr>
    <w:rPr>
      <w:rFonts w:ascii="Calibri" w:eastAsia="Calibri" w:hAnsi="Calibri"/>
      <w:sz w:val="22"/>
      <w:szCs w:val="22"/>
      <w:lang w:eastAsia="en-US"/>
    </w:rPr>
  </w:style>
  <w:style w:type="character" w:customStyle="1" w:styleId="af3">
    <w:name w:val="Абзац Знак"/>
    <w:basedOn w:val="a0"/>
    <w:link w:val="af2"/>
    <w:rsid w:val="00E4385E"/>
    <w:rPr>
      <w:rFonts w:ascii="Calibri" w:eastAsia="Calibri" w:hAnsi="Calibri"/>
      <w:sz w:val="22"/>
      <w:szCs w:val="22"/>
      <w:lang w:eastAsia="en-US"/>
    </w:rPr>
  </w:style>
  <w:style w:type="paragraph" w:styleId="af4">
    <w:name w:val="Balloon Text"/>
    <w:basedOn w:val="a"/>
    <w:link w:val="af5"/>
    <w:rsid w:val="004077CC"/>
    <w:rPr>
      <w:rFonts w:ascii="Tahoma" w:hAnsi="Tahoma" w:cs="Tahoma"/>
      <w:sz w:val="16"/>
      <w:szCs w:val="16"/>
    </w:rPr>
  </w:style>
  <w:style w:type="character" w:customStyle="1" w:styleId="af5">
    <w:name w:val="Текст выноски Знак"/>
    <w:basedOn w:val="a0"/>
    <w:link w:val="af4"/>
    <w:rsid w:val="004077CC"/>
    <w:rPr>
      <w:rFonts w:ascii="Tahoma" w:hAnsi="Tahoma" w:cs="Tahoma"/>
      <w:sz w:val="16"/>
      <w:szCs w:val="16"/>
      <w:lang w:eastAsia="ar-SA"/>
    </w:rPr>
  </w:style>
  <w:style w:type="character" w:styleId="af6">
    <w:name w:val="FollowedHyperlink"/>
    <w:basedOn w:val="a0"/>
    <w:rsid w:val="00CE1BBA"/>
    <w:rPr>
      <w:color w:val="800080" w:themeColor="followedHyperlink"/>
      <w:u w:val="single"/>
    </w:rPr>
  </w:style>
  <w:style w:type="paragraph" w:styleId="af7">
    <w:name w:val="List Paragraph"/>
    <w:basedOn w:val="a"/>
    <w:uiPriority w:val="34"/>
    <w:qFormat/>
    <w:rsid w:val="008D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5D0241"/>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ody Text Indent"/>
    <w:basedOn w:val="a"/>
    <w:link w:val="a9"/>
    <w:rsid w:val="005D0241"/>
    <w:pPr>
      <w:spacing w:after="120"/>
      <w:ind w:left="283"/>
    </w:pPr>
  </w:style>
  <w:style w:type="character" w:customStyle="1" w:styleId="a9">
    <w:name w:val="Основной текст с отступом Знак"/>
    <w:link w:val="a8"/>
    <w:rsid w:val="005D0241"/>
    <w:rPr>
      <w:sz w:val="24"/>
      <w:szCs w:val="24"/>
      <w:lang w:eastAsia="ar-SA"/>
    </w:rPr>
  </w:style>
  <w:style w:type="character" w:customStyle="1" w:styleId="10">
    <w:name w:val="Заголовок 1 Знак"/>
    <w:link w:val="1"/>
    <w:rsid w:val="005D0241"/>
    <w:rPr>
      <w:rFonts w:ascii="Arial" w:hAnsi="Arial" w:cs="Arial"/>
      <w:b/>
      <w:bCs/>
      <w:kern w:val="32"/>
      <w:sz w:val="32"/>
      <w:szCs w:val="32"/>
    </w:rPr>
  </w:style>
  <w:style w:type="paragraph" w:styleId="3">
    <w:name w:val="Body Text Indent 3"/>
    <w:basedOn w:val="a"/>
    <w:link w:val="30"/>
    <w:rsid w:val="005D0241"/>
    <w:pPr>
      <w:spacing w:after="120"/>
      <w:ind w:left="283"/>
    </w:pPr>
    <w:rPr>
      <w:sz w:val="16"/>
      <w:szCs w:val="16"/>
    </w:rPr>
  </w:style>
  <w:style w:type="character" w:customStyle="1" w:styleId="30">
    <w:name w:val="Основной текст с отступом 3 Знак"/>
    <w:link w:val="3"/>
    <w:rsid w:val="005D0241"/>
    <w:rPr>
      <w:sz w:val="16"/>
      <w:szCs w:val="16"/>
      <w:lang w:eastAsia="ar-SA"/>
    </w:rPr>
  </w:style>
  <w:style w:type="character" w:styleId="aa">
    <w:name w:val="Hyperlink"/>
    <w:rsid w:val="005D0241"/>
    <w:rPr>
      <w:color w:val="0000FF"/>
      <w:u w:val="single"/>
    </w:rPr>
  </w:style>
  <w:style w:type="paragraph" w:styleId="ab">
    <w:name w:val="footnote text"/>
    <w:basedOn w:val="a"/>
    <w:link w:val="ac"/>
    <w:rsid w:val="005D0241"/>
    <w:pPr>
      <w:suppressAutoHyphens w:val="0"/>
    </w:pPr>
    <w:rPr>
      <w:sz w:val="20"/>
      <w:szCs w:val="20"/>
      <w:lang w:val="en-US" w:eastAsia="en-US"/>
    </w:rPr>
  </w:style>
  <w:style w:type="character" w:customStyle="1" w:styleId="ac">
    <w:name w:val="Текст сноски Знак"/>
    <w:link w:val="ab"/>
    <w:rsid w:val="005D0241"/>
    <w:rPr>
      <w:lang w:val="en-US" w:eastAsia="en-US"/>
    </w:rPr>
  </w:style>
  <w:style w:type="character" w:styleId="ad">
    <w:name w:val="footnote reference"/>
    <w:rsid w:val="005D0241"/>
    <w:rPr>
      <w:vertAlign w:val="superscript"/>
    </w:rPr>
  </w:style>
  <w:style w:type="character" w:styleId="ae">
    <w:name w:val="Strong"/>
    <w:uiPriority w:val="22"/>
    <w:qFormat/>
    <w:rsid w:val="005D0241"/>
    <w:rPr>
      <w:b/>
      <w:bCs/>
    </w:rPr>
  </w:style>
  <w:style w:type="paragraph" w:styleId="af">
    <w:name w:val="No Spacing"/>
    <w:basedOn w:val="a"/>
    <w:qFormat/>
    <w:rsid w:val="005D0241"/>
    <w:pPr>
      <w:suppressAutoHyphens w:val="0"/>
    </w:pPr>
    <w:rPr>
      <w:rFonts w:ascii="Calibri" w:eastAsia="Calibri" w:hAnsi="Calibri"/>
      <w:i/>
      <w:iCs/>
      <w:sz w:val="20"/>
      <w:szCs w:val="20"/>
      <w:lang w:val="en-US" w:eastAsia="en-US" w:bidi="en-US"/>
    </w:rPr>
  </w:style>
  <w:style w:type="character" w:customStyle="1" w:styleId="Subst">
    <w:name w:val="Subst"/>
    <w:uiPriority w:val="99"/>
    <w:rsid w:val="005D0241"/>
    <w:rPr>
      <w:b/>
      <w:bCs w:val="0"/>
      <w:i/>
      <w:iCs w:val="0"/>
    </w:rPr>
  </w:style>
  <w:style w:type="character" w:customStyle="1" w:styleId="style13359975970000000322s27">
    <w:name w:val="style_13359975970000000322s27"/>
    <w:rsid w:val="005D0241"/>
  </w:style>
  <w:style w:type="paragraph" w:styleId="af0">
    <w:name w:val="Normal (Web)"/>
    <w:aliases w:val="Char Char Char Char Char Char Char Char Char Char Char Char Char Char Char Char Char Char Char, Char Char Char Char Char Char Char Char Char Char Char Char Char Char Char Char Char Char Char"/>
    <w:basedOn w:val="a"/>
    <w:link w:val="af1"/>
    <w:uiPriority w:val="99"/>
    <w:unhideWhenUsed/>
    <w:rsid w:val="005D0241"/>
    <w:pPr>
      <w:suppressAutoHyphens w:val="0"/>
      <w:spacing w:before="100" w:beforeAutospacing="1" w:after="100" w:afterAutospacing="1"/>
    </w:pPr>
    <w:rPr>
      <w:lang w:eastAsia="ru-RU"/>
    </w:rPr>
  </w:style>
  <w:style w:type="character" w:customStyle="1" w:styleId="af1">
    <w:name w:val="Обычный (веб) Знак"/>
    <w:aliases w:val="Char Char Char Char Char Char Char Char Char Char Char Char Char Char Char Char Char Char Char Знак, Char Char Char Char Char Char Char Char Char Char Char Char Char Char Char Char Char Char Char Знак"/>
    <w:link w:val="af0"/>
    <w:uiPriority w:val="99"/>
    <w:locked/>
    <w:rsid w:val="005D0241"/>
    <w:rPr>
      <w:sz w:val="24"/>
      <w:szCs w:val="24"/>
    </w:rPr>
  </w:style>
  <w:style w:type="character" w:customStyle="1" w:styleId="apple-converted-space">
    <w:name w:val="apple-converted-space"/>
    <w:basedOn w:val="a0"/>
    <w:rsid w:val="00E44A09"/>
  </w:style>
  <w:style w:type="paragraph" w:customStyle="1" w:styleId="af2">
    <w:name w:val="Абзац"/>
    <w:basedOn w:val="a"/>
    <w:link w:val="af3"/>
    <w:qFormat/>
    <w:rsid w:val="00E4385E"/>
    <w:pPr>
      <w:suppressAutoHyphens w:val="0"/>
      <w:spacing w:line="276" w:lineRule="auto"/>
      <w:ind w:firstLine="709"/>
      <w:jc w:val="both"/>
    </w:pPr>
    <w:rPr>
      <w:rFonts w:ascii="Calibri" w:eastAsia="Calibri" w:hAnsi="Calibri"/>
      <w:sz w:val="22"/>
      <w:szCs w:val="22"/>
      <w:lang w:eastAsia="en-US"/>
    </w:rPr>
  </w:style>
  <w:style w:type="character" w:customStyle="1" w:styleId="af3">
    <w:name w:val="Абзац Знак"/>
    <w:basedOn w:val="a0"/>
    <w:link w:val="af2"/>
    <w:rsid w:val="00E4385E"/>
    <w:rPr>
      <w:rFonts w:ascii="Calibri" w:eastAsia="Calibri" w:hAnsi="Calibri"/>
      <w:sz w:val="22"/>
      <w:szCs w:val="22"/>
      <w:lang w:eastAsia="en-US"/>
    </w:rPr>
  </w:style>
  <w:style w:type="paragraph" w:styleId="af4">
    <w:name w:val="Balloon Text"/>
    <w:basedOn w:val="a"/>
    <w:link w:val="af5"/>
    <w:rsid w:val="004077CC"/>
    <w:rPr>
      <w:rFonts w:ascii="Tahoma" w:hAnsi="Tahoma" w:cs="Tahoma"/>
      <w:sz w:val="16"/>
      <w:szCs w:val="16"/>
    </w:rPr>
  </w:style>
  <w:style w:type="character" w:customStyle="1" w:styleId="af5">
    <w:name w:val="Текст выноски Знак"/>
    <w:basedOn w:val="a0"/>
    <w:link w:val="af4"/>
    <w:rsid w:val="004077CC"/>
    <w:rPr>
      <w:rFonts w:ascii="Tahoma" w:hAnsi="Tahoma" w:cs="Tahoma"/>
      <w:sz w:val="16"/>
      <w:szCs w:val="16"/>
      <w:lang w:eastAsia="ar-SA"/>
    </w:rPr>
  </w:style>
  <w:style w:type="character" w:styleId="af6">
    <w:name w:val="FollowedHyperlink"/>
    <w:basedOn w:val="a0"/>
    <w:rsid w:val="00CE1BBA"/>
    <w:rPr>
      <w:color w:val="800080" w:themeColor="followedHyperlink"/>
      <w:u w:val="single"/>
    </w:rPr>
  </w:style>
  <w:style w:type="paragraph" w:styleId="af7">
    <w:name w:val="List Paragraph"/>
    <w:basedOn w:val="a"/>
    <w:uiPriority w:val="34"/>
    <w:qFormat/>
    <w:rsid w:val="008D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5319">
      <w:bodyDiv w:val="1"/>
      <w:marLeft w:val="0"/>
      <w:marRight w:val="0"/>
      <w:marTop w:val="0"/>
      <w:marBottom w:val="0"/>
      <w:divBdr>
        <w:top w:val="none" w:sz="0" w:space="0" w:color="auto"/>
        <w:left w:val="none" w:sz="0" w:space="0" w:color="auto"/>
        <w:bottom w:val="none" w:sz="0" w:space="0" w:color="auto"/>
        <w:right w:val="none" w:sz="0" w:space="0" w:color="auto"/>
      </w:divBdr>
    </w:div>
    <w:div w:id="217211006">
      <w:bodyDiv w:val="1"/>
      <w:marLeft w:val="0"/>
      <w:marRight w:val="0"/>
      <w:marTop w:val="0"/>
      <w:marBottom w:val="0"/>
      <w:divBdr>
        <w:top w:val="none" w:sz="0" w:space="0" w:color="auto"/>
        <w:left w:val="none" w:sz="0" w:space="0" w:color="auto"/>
        <w:bottom w:val="none" w:sz="0" w:space="0" w:color="auto"/>
        <w:right w:val="none" w:sz="0" w:space="0" w:color="auto"/>
      </w:divBdr>
    </w:div>
    <w:div w:id="221253344">
      <w:bodyDiv w:val="1"/>
      <w:marLeft w:val="0"/>
      <w:marRight w:val="0"/>
      <w:marTop w:val="0"/>
      <w:marBottom w:val="0"/>
      <w:divBdr>
        <w:top w:val="none" w:sz="0" w:space="0" w:color="auto"/>
        <w:left w:val="none" w:sz="0" w:space="0" w:color="auto"/>
        <w:bottom w:val="none" w:sz="0" w:space="0" w:color="auto"/>
        <w:right w:val="none" w:sz="0" w:space="0" w:color="auto"/>
      </w:divBdr>
    </w:div>
    <w:div w:id="243613768">
      <w:bodyDiv w:val="1"/>
      <w:marLeft w:val="0"/>
      <w:marRight w:val="0"/>
      <w:marTop w:val="0"/>
      <w:marBottom w:val="0"/>
      <w:divBdr>
        <w:top w:val="none" w:sz="0" w:space="0" w:color="auto"/>
        <w:left w:val="none" w:sz="0" w:space="0" w:color="auto"/>
        <w:bottom w:val="none" w:sz="0" w:space="0" w:color="auto"/>
        <w:right w:val="none" w:sz="0" w:space="0" w:color="auto"/>
      </w:divBdr>
    </w:div>
    <w:div w:id="257911545">
      <w:bodyDiv w:val="1"/>
      <w:marLeft w:val="0"/>
      <w:marRight w:val="0"/>
      <w:marTop w:val="0"/>
      <w:marBottom w:val="0"/>
      <w:divBdr>
        <w:top w:val="none" w:sz="0" w:space="0" w:color="auto"/>
        <w:left w:val="none" w:sz="0" w:space="0" w:color="auto"/>
        <w:bottom w:val="none" w:sz="0" w:space="0" w:color="auto"/>
        <w:right w:val="none" w:sz="0" w:space="0" w:color="auto"/>
      </w:divBdr>
    </w:div>
    <w:div w:id="482088019">
      <w:bodyDiv w:val="1"/>
      <w:marLeft w:val="0"/>
      <w:marRight w:val="0"/>
      <w:marTop w:val="0"/>
      <w:marBottom w:val="0"/>
      <w:divBdr>
        <w:top w:val="none" w:sz="0" w:space="0" w:color="auto"/>
        <w:left w:val="none" w:sz="0" w:space="0" w:color="auto"/>
        <w:bottom w:val="none" w:sz="0" w:space="0" w:color="auto"/>
        <w:right w:val="none" w:sz="0" w:space="0" w:color="auto"/>
      </w:divBdr>
      <w:divsChild>
        <w:div w:id="1026371561">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 w:id="557861952">
      <w:bodyDiv w:val="1"/>
      <w:marLeft w:val="0"/>
      <w:marRight w:val="0"/>
      <w:marTop w:val="0"/>
      <w:marBottom w:val="0"/>
      <w:divBdr>
        <w:top w:val="none" w:sz="0" w:space="0" w:color="auto"/>
        <w:left w:val="none" w:sz="0" w:space="0" w:color="auto"/>
        <w:bottom w:val="none" w:sz="0" w:space="0" w:color="auto"/>
        <w:right w:val="none" w:sz="0" w:space="0" w:color="auto"/>
      </w:divBdr>
    </w:div>
    <w:div w:id="565382627">
      <w:bodyDiv w:val="1"/>
      <w:marLeft w:val="0"/>
      <w:marRight w:val="0"/>
      <w:marTop w:val="0"/>
      <w:marBottom w:val="0"/>
      <w:divBdr>
        <w:top w:val="none" w:sz="0" w:space="0" w:color="auto"/>
        <w:left w:val="none" w:sz="0" w:space="0" w:color="auto"/>
        <w:bottom w:val="none" w:sz="0" w:space="0" w:color="auto"/>
        <w:right w:val="none" w:sz="0" w:space="0" w:color="auto"/>
      </w:divBdr>
    </w:div>
    <w:div w:id="700395159">
      <w:bodyDiv w:val="1"/>
      <w:marLeft w:val="0"/>
      <w:marRight w:val="0"/>
      <w:marTop w:val="0"/>
      <w:marBottom w:val="0"/>
      <w:divBdr>
        <w:top w:val="none" w:sz="0" w:space="0" w:color="auto"/>
        <w:left w:val="none" w:sz="0" w:space="0" w:color="auto"/>
        <w:bottom w:val="none" w:sz="0" w:space="0" w:color="auto"/>
        <w:right w:val="none" w:sz="0" w:space="0" w:color="auto"/>
      </w:divBdr>
    </w:div>
    <w:div w:id="707876211">
      <w:bodyDiv w:val="1"/>
      <w:marLeft w:val="0"/>
      <w:marRight w:val="0"/>
      <w:marTop w:val="0"/>
      <w:marBottom w:val="0"/>
      <w:divBdr>
        <w:top w:val="none" w:sz="0" w:space="0" w:color="auto"/>
        <w:left w:val="none" w:sz="0" w:space="0" w:color="auto"/>
        <w:bottom w:val="none" w:sz="0" w:space="0" w:color="auto"/>
        <w:right w:val="none" w:sz="0" w:space="0" w:color="auto"/>
      </w:divBdr>
    </w:div>
    <w:div w:id="840658053">
      <w:bodyDiv w:val="1"/>
      <w:marLeft w:val="0"/>
      <w:marRight w:val="0"/>
      <w:marTop w:val="0"/>
      <w:marBottom w:val="0"/>
      <w:divBdr>
        <w:top w:val="none" w:sz="0" w:space="0" w:color="auto"/>
        <w:left w:val="none" w:sz="0" w:space="0" w:color="auto"/>
        <w:bottom w:val="none" w:sz="0" w:space="0" w:color="auto"/>
        <w:right w:val="none" w:sz="0" w:space="0" w:color="auto"/>
      </w:divBdr>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1097484464">
      <w:bodyDiv w:val="1"/>
      <w:marLeft w:val="0"/>
      <w:marRight w:val="0"/>
      <w:marTop w:val="0"/>
      <w:marBottom w:val="0"/>
      <w:divBdr>
        <w:top w:val="none" w:sz="0" w:space="0" w:color="auto"/>
        <w:left w:val="none" w:sz="0" w:space="0" w:color="auto"/>
        <w:bottom w:val="none" w:sz="0" w:space="0" w:color="auto"/>
        <w:right w:val="none" w:sz="0" w:space="0" w:color="auto"/>
      </w:divBdr>
    </w:div>
    <w:div w:id="1122967341">
      <w:bodyDiv w:val="1"/>
      <w:marLeft w:val="0"/>
      <w:marRight w:val="0"/>
      <w:marTop w:val="0"/>
      <w:marBottom w:val="0"/>
      <w:divBdr>
        <w:top w:val="none" w:sz="0" w:space="0" w:color="auto"/>
        <w:left w:val="none" w:sz="0" w:space="0" w:color="auto"/>
        <w:bottom w:val="none" w:sz="0" w:space="0" w:color="auto"/>
        <w:right w:val="none" w:sz="0" w:space="0" w:color="auto"/>
      </w:divBdr>
    </w:div>
    <w:div w:id="1171994809">
      <w:bodyDiv w:val="1"/>
      <w:marLeft w:val="0"/>
      <w:marRight w:val="0"/>
      <w:marTop w:val="0"/>
      <w:marBottom w:val="0"/>
      <w:divBdr>
        <w:top w:val="none" w:sz="0" w:space="0" w:color="auto"/>
        <w:left w:val="none" w:sz="0" w:space="0" w:color="auto"/>
        <w:bottom w:val="none" w:sz="0" w:space="0" w:color="auto"/>
        <w:right w:val="none" w:sz="0" w:space="0" w:color="auto"/>
      </w:divBdr>
    </w:div>
    <w:div w:id="1194996296">
      <w:bodyDiv w:val="1"/>
      <w:marLeft w:val="0"/>
      <w:marRight w:val="0"/>
      <w:marTop w:val="0"/>
      <w:marBottom w:val="0"/>
      <w:divBdr>
        <w:top w:val="none" w:sz="0" w:space="0" w:color="auto"/>
        <w:left w:val="none" w:sz="0" w:space="0" w:color="auto"/>
        <w:bottom w:val="none" w:sz="0" w:space="0" w:color="auto"/>
        <w:right w:val="none" w:sz="0" w:space="0" w:color="auto"/>
      </w:divBdr>
    </w:div>
    <w:div w:id="1250580034">
      <w:bodyDiv w:val="1"/>
      <w:marLeft w:val="0"/>
      <w:marRight w:val="0"/>
      <w:marTop w:val="0"/>
      <w:marBottom w:val="0"/>
      <w:divBdr>
        <w:top w:val="none" w:sz="0" w:space="0" w:color="auto"/>
        <w:left w:val="none" w:sz="0" w:space="0" w:color="auto"/>
        <w:bottom w:val="none" w:sz="0" w:space="0" w:color="auto"/>
        <w:right w:val="none" w:sz="0" w:space="0" w:color="auto"/>
      </w:divBdr>
    </w:div>
    <w:div w:id="1280645813">
      <w:bodyDiv w:val="1"/>
      <w:marLeft w:val="0"/>
      <w:marRight w:val="0"/>
      <w:marTop w:val="0"/>
      <w:marBottom w:val="0"/>
      <w:divBdr>
        <w:top w:val="none" w:sz="0" w:space="0" w:color="auto"/>
        <w:left w:val="none" w:sz="0" w:space="0" w:color="auto"/>
        <w:bottom w:val="none" w:sz="0" w:space="0" w:color="auto"/>
        <w:right w:val="none" w:sz="0" w:space="0" w:color="auto"/>
      </w:divBdr>
      <w:divsChild>
        <w:div w:id="208536858">
          <w:marLeft w:val="0"/>
          <w:marRight w:val="0"/>
          <w:marTop w:val="0"/>
          <w:marBottom w:val="0"/>
          <w:divBdr>
            <w:top w:val="none" w:sz="0" w:space="0" w:color="auto"/>
            <w:left w:val="none" w:sz="0" w:space="0" w:color="auto"/>
            <w:bottom w:val="none" w:sz="0" w:space="0" w:color="auto"/>
            <w:right w:val="none" w:sz="0" w:space="0" w:color="auto"/>
          </w:divBdr>
        </w:div>
      </w:divsChild>
    </w:div>
    <w:div w:id="1338531718">
      <w:bodyDiv w:val="1"/>
      <w:marLeft w:val="0"/>
      <w:marRight w:val="0"/>
      <w:marTop w:val="0"/>
      <w:marBottom w:val="0"/>
      <w:divBdr>
        <w:top w:val="none" w:sz="0" w:space="0" w:color="auto"/>
        <w:left w:val="none" w:sz="0" w:space="0" w:color="auto"/>
        <w:bottom w:val="none" w:sz="0" w:space="0" w:color="auto"/>
        <w:right w:val="none" w:sz="0" w:space="0" w:color="auto"/>
      </w:divBdr>
    </w:div>
    <w:div w:id="1448305481">
      <w:bodyDiv w:val="1"/>
      <w:marLeft w:val="0"/>
      <w:marRight w:val="0"/>
      <w:marTop w:val="0"/>
      <w:marBottom w:val="0"/>
      <w:divBdr>
        <w:top w:val="none" w:sz="0" w:space="0" w:color="auto"/>
        <w:left w:val="none" w:sz="0" w:space="0" w:color="auto"/>
        <w:bottom w:val="none" w:sz="0" w:space="0" w:color="auto"/>
        <w:right w:val="none" w:sz="0" w:space="0" w:color="auto"/>
      </w:divBdr>
    </w:div>
    <w:div w:id="1574391914">
      <w:bodyDiv w:val="1"/>
      <w:marLeft w:val="0"/>
      <w:marRight w:val="0"/>
      <w:marTop w:val="0"/>
      <w:marBottom w:val="0"/>
      <w:divBdr>
        <w:top w:val="none" w:sz="0" w:space="0" w:color="auto"/>
        <w:left w:val="none" w:sz="0" w:space="0" w:color="auto"/>
        <w:bottom w:val="none" w:sz="0" w:space="0" w:color="auto"/>
        <w:right w:val="none" w:sz="0" w:space="0" w:color="auto"/>
      </w:divBdr>
    </w:div>
    <w:div w:id="1580678480">
      <w:bodyDiv w:val="1"/>
      <w:marLeft w:val="0"/>
      <w:marRight w:val="0"/>
      <w:marTop w:val="0"/>
      <w:marBottom w:val="0"/>
      <w:divBdr>
        <w:top w:val="none" w:sz="0" w:space="0" w:color="auto"/>
        <w:left w:val="none" w:sz="0" w:space="0" w:color="auto"/>
        <w:bottom w:val="none" w:sz="0" w:space="0" w:color="auto"/>
        <w:right w:val="none" w:sz="0" w:space="0" w:color="auto"/>
      </w:divBdr>
    </w:div>
    <w:div w:id="1594360123">
      <w:bodyDiv w:val="1"/>
      <w:marLeft w:val="0"/>
      <w:marRight w:val="0"/>
      <w:marTop w:val="0"/>
      <w:marBottom w:val="0"/>
      <w:divBdr>
        <w:top w:val="none" w:sz="0" w:space="0" w:color="auto"/>
        <w:left w:val="none" w:sz="0" w:space="0" w:color="auto"/>
        <w:bottom w:val="none" w:sz="0" w:space="0" w:color="auto"/>
        <w:right w:val="none" w:sz="0" w:space="0" w:color="auto"/>
      </w:divBdr>
    </w:div>
    <w:div w:id="1640306655">
      <w:bodyDiv w:val="1"/>
      <w:marLeft w:val="0"/>
      <w:marRight w:val="0"/>
      <w:marTop w:val="0"/>
      <w:marBottom w:val="0"/>
      <w:divBdr>
        <w:top w:val="none" w:sz="0" w:space="0" w:color="auto"/>
        <w:left w:val="none" w:sz="0" w:space="0" w:color="auto"/>
        <w:bottom w:val="none" w:sz="0" w:space="0" w:color="auto"/>
        <w:right w:val="none" w:sz="0" w:space="0" w:color="auto"/>
      </w:divBdr>
    </w:div>
    <w:div w:id="1749568932">
      <w:bodyDiv w:val="1"/>
      <w:marLeft w:val="0"/>
      <w:marRight w:val="0"/>
      <w:marTop w:val="0"/>
      <w:marBottom w:val="0"/>
      <w:divBdr>
        <w:top w:val="none" w:sz="0" w:space="0" w:color="auto"/>
        <w:left w:val="none" w:sz="0" w:space="0" w:color="auto"/>
        <w:bottom w:val="none" w:sz="0" w:space="0" w:color="auto"/>
        <w:right w:val="none" w:sz="0" w:space="0" w:color="auto"/>
      </w:divBdr>
    </w:div>
    <w:div w:id="1750075469">
      <w:bodyDiv w:val="1"/>
      <w:marLeft w:val="0"/>
      <w:marRight w:val="0"/>
      <w:marTop w:val="0"/>
      <w:marBottom w:val="0"/>
      <w:divBdr>
        <w:top w:val="none" w:sz="0" w:space="0" w:color="auto"/>
        <w:left w:val="none" w:sz="0" w:space="0" w:color="auto"/>
        <w:bottom w:val="none" w:sz="0" w:space="0" w:color="auto"/>
        <w:right w:val="none" w:sz="0" w:space="0" w:color="auto"/>
      </w:divBdr>
    </w:div>
    <w:div w:id="1781485742">
      <w:bodyDiv w:val="1"/>
      <w:marLeft w:val="0"/>
      <w:marRight w:val="0"/>
      <w:marTop w:val="0"/>
      <w:marBottom w:val="0"/>
      <w:divBdr>
        <w:top w:val="none" w:sz="0" w:space="0" w:color="auto"/>
        <w:left w:val="none" w:sz="0" w:space="0" w:color="auto"/>
        <w:bottom w:val="none" w:sz="0" w:space="0" w:color="auto"/>
        <w:right w:val="none" w:sz="0" w:space="0" w:color="auto"/>
      </w:divBdr>
    </w:div>
    <w:div w:id="2046712127">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 w:id="21075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i.ru/produkty-i-uslugi/pgd" TargetMode="External"/><Relationship Id="rId18" Type="http://schemas.openxmlformats.org/officeDocument/2006/relationships/hyperlink" Target="mailto:rea@gemaban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sci.ru/produkty-i-uslugi/gemaskrin" TargetMode="External"/><Relationship Id="rId17" Type="http://schemas.openxmlformats.org/officeDocument/2006/relationships/hyperlink" Target="mailto:ssamoylova@hsci.ru" TargetMode="External"/><Relationship Id="rId2" Type="http://schemas.openxmlformats.org/officeDocument/2006/relationships/numbering" Target="numbering.xml"/><Relationship Id="rId16" Type="http://schemas.openxmlformats.org/officeDocument/2006/relationships/hyperlink" Target="http://www.micex.ru/marketdata/quo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i.ru/" TargetMode="External"/><Relationship Id="rId5" Type="http://schemas.openxmlformats.org/officeDocument/2006/relationships/settings" Target="settings.xml"/><Relationship Id="rId15" Type="http://schemas.openxmlformats.org/officeDocument/2006/relationships/hyperlink" Target="http://hsci.ru/produkty-i-uslugi/sprs-terapiia" TargetMode="External"/><Relationship Id="rId10" Type="http://schemas.openxmlformats.org/officeDocument/2006/relationships/hyperlink" Target="http://www.hsci.ru/investoram-i-aktsioneram/financial_reporting/otchety_msf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ex.ru/marketdata/quotes" TargetMode="External"/><Relationship Id="rId14" Type="http://schemas.openxmlformats.org/officeDocument/2006/relationships/hyperlink" Target="http://hsci.ru/produkty-i-uslugi/reproduktivnyi-ban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BA25-4840-426D-BF09-01889B1B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____________________ 2011 года</vt:lpstr>
    </vt:vector>
  </TitlesOfParts>
  <Company>ОАО "ИСКЧ"</Company>
  <LinksUpToDate>false</LinksUpToDate>
  <CharactersWithSpaces>25088</CharactersWithSpaces>
  <SharedDoc>false</SharedDoc>
  <HLinks>
    <vt:vector size="78" baseType="variant">
      <vt:variant>
        <vt:i4>2883603</vt:i4>
      </vt:variant>
      <vt:variant>
        <vt:i4>36</vt:i4>
      </vt:variant>
      <vt:variant>
        <vt:i4>0</vt:i4>
      </vt:variant>
      <vt:variant>
        <vt:i4>5</vt:i4>
      </vt:variant>
      <vt:variant>
        <vt:lpwstr>mailto:rea@gemabank.ru</vt:lpwstr>
      </vt:variant>
      <vt:variant>
        <vt:lpwstr/>
      </vt:variant>
      <vt:variant>
        <vt:i4>2949126</vt:i4>
      </vt:variant>
      <vt:variant>
        <vt:i4>33</vt:i4>
      </vt:variant>
      <vt:variant>
        <vt:i4>0</vt:i4>
      </vt:variant>
      <vt:variant>
        <vt:i4>5</vt:i4>
      </vt:variant>
      <vt:variant>
        <vt:lpwstr>mailto:ssamoylova@hsci.ru</vt:lpwstr>
      </vt:variant>
      <vt:variant>
        <vt:lpwstr/>
      </vt:variant>
      <vt:variant>
        <vt:i4>327747</vt:i4>
      </vt:variant>
      <vt:variant>
        <vt:i4>30</vt:i4>
      </vt:variant>
      <vt:variant>
        <vt:i4>0</vt:i4>
      </vt:variant>
      <vt:variant>
        <vt:i4>5</vt:i4>
      </vt:variant>
      <vt:variant>
        <vt:lpwstr>http://www.micex.ru/marketdata/quotes</vt:lpwstr>
      </vt:variant>
      <vt:variant>
        <vt:lpwstr/>
      </vt:variant>
      <vt:variant>
        <vt:i4>3407922</vt:i4>
      </vt:variant>
      <vt:variant>
        <vt:i4>27</vt:i4>
      </vt:variant>
      <vt:variant>
        <vt:i4>0</vt:i4>
      </vt:variant>
      <vt:variant>
        <vt:i4>5</vt:i4>
      </vt:variant>
      <vt:variant>
        <vt:lpwstr>http://hsci.ru/napravleniia/synbio</vt:lpwstr>
      </vt:variant>
      <vt:variant>
        <vt:lpwstr/>
      </vt:variant>
      <vt:variant>
        <vt:i4>2752622</vt:i4>
      </vt:variant>
      <vt:variant>
        <vt:i4>24</vt:i4>
      </vt:variant>
      <vt:variant>
        <vt:i4>0</vt:i4>
      </vt:variant>
      <vt:variant>
        <vt:i4>5</vt:i4>
      </vt:variant>
      <vt:variant>
        <vt:lpwstr>http://hsci.ru/produkty-i-uslugi/sprs-terapiia</vt:lpwstr>
      </vt:variant>
      <vt:variant>
        <vt:lpwstr/>
      </vt:variant>
      <vt:variant>
        <vt:i4>7274612</vt:i4>
      </vt:variant>
      <vt:variant>
        <vt:i4>21</vt:i4>
      </vt:variant>
      <vt:variant>
        <vt:i4>0</vt:i4>
      </vt:variant>
      <vt:variant>
        <vt:i4>5</vt:i4>
      </vt:variant>
      <vt:variant>
        <vt:lpwstr>http://hsci.ru/produkty-i-uslugi/gemaskrin</vt:lpwstr>
      </vt:variant>
      <vt:variant>
        <vt:lpwstr/>
      </vt:variant>
      <vt:variant>
        <vt:i4>524288</vt:i4>
      </vt:variant>
      <vt:variant>
        <vt:i4>18</vt:i4>
      </vt:variant>
      <vt:variant>
        <vt:i4>0</vt:i4>
      </vt:variant>
      <vt:variant>
        <vt:i4>5</vt:i4>
      </vt:variant>
      <vt:variant>
        <vt:lpwstr>http://hsci.ru/produkty-i-uslugi/neovaskulgen</vt:lpwstr>
      </vt:variant>
      <vt:variant>
        <vt:lpwstr/>
      </vt:variant>
      <vt:variant>
        <vt:i4>786455</vt:i4>
      </vt:variant>
      <vt:variant>
        <vt:i4>15</vt:i4>
      </vt:variant>
      <vt:variant>
        <vt:i4>0</vt:i4>
      </vt:variant>
      <vt:variant>
        <vt:i4>5</vt:i4>
      </vt:variant>
      <vt:variant>
        <vt:lpwstr>http://hsci.ru/produkty-i-uslugi/gemabank</vt:lpwstr>
      </vt:variant>
      <vt:variant>
        <vt:lpwstr/>
      </vt:variant>
      <vt:variant>
        <vt:i4>8060984</vt:i4>
      </vt:variant>
      <vt:variant>
        <vt:i4>12</vt:i4>
      </vt:variant>
      <vt:variant>
        <vt:i4>0</vt:i4>
      </vt:variant>
      <vt:variant>
        <vt:i4>5</vt:i4>
      </vt:variant>
      <vt:variant>
        <vt:lpwstr>http://www.hsci.ru/</vt:lpwstr>
      </vt:variant>
      <vt:variant>
        <vt:lpwstr/>
      </vt:variant>
      <vt:variant>
        <vt:i4>1376336</vt:i4>
      </vt:variant>
      <vt:variant>
        <vt:i4>9</vt:i4>
      </vt:variant>
      <vt:variant>
        <vt:i4>0</vt:i4>
      </vt:variant>
      <vt:variant>
        <vt:i4>5</vt:i4>
      </vt:variant>
      <vt:variant>
        <vt:lpwstr>http://my.comdi.com/event/82520/</vt:lpwstr>
      </vt:variant>
      <vt:variant>
        <vt:lpwstr/>
      </vt:variant>
      <vt:variant>
        <vt:i4>1966167</vt:i4>
      </vt:variant>
      <vt:variant>
        <vt:i4>6</vt:i4>
      </vt:variant>
      <vt:variant>
        <vt:i4>0</vt:i4>
      </vt:variant>
      <vt:variant>
        <vt:i4>5</vt:i4>
      </vt:variant>
      <vt:variant>
        <vt:lpwstr>http://hsci.ru/investoram-i-aktsioneram/financial_reporting/otchety_rsbu</vt:lpwstr>
      </vt:variant>
      <vt:variant>
        <vt:lpwstr/>
      </vt:variant>
      <vt:variant>
        <vt:i4>1310749</vt:i4>
      </vt:variant>
      <vt:variant>
        <vt:i4>3</vt:i4>
      </vt:variant>
      <vt:variant>
        <vt:i4>0</vt:i4>
      </vt:variant>
      <vt:variant>
        <vt:i4>5</vt:i4>
      </vt:variant>
      <vt:variant>
        <vt:lpwstr>http://www.hsci.ru/news/press-relizy/0105</vt:lpwstr>
      </vt:variant>
      <vt:variant>
        <vt:lpwstr/>
      </vt:variant>
      <vt:variant>
        <vt:i4>327747</vt:i4>
      </vt:variant>
      <vt:variant>
        <vt:i4>0</vt:i4>
      </vt:variant>
      <vt:variant>
        <vt:i4>0</vt:i4>
      </vt:variant>
      <vt:variant>
        <vt:i4>5</vt:i4>
      </vt:variant>
      <vt:variant>
        <vt:lpwstr>http://www.micex.ru/marketdata/quotes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 2011 года</dc:title>
  <dc:creator>Андреева</dc:creator>
  <cp:lastModifiedBy>Куринный Александр Николаевич</cp:lastModifiedBy>
  <cp:revision>2</cp:revision>
  <cp:lastPrinted>2013-08-28T15:17:00Z</cp:lastPrinted>
  <dcterms:created xsi:type="dcterms:W3CDTF">2013-08-29T12:22:00Z</dcterms:created>
  <dcterms:modified xsi:type="dcterms:W3CDTF">2013-08-29T12:22:00Z</dcterms:modified>
</cp:coreProperties>
</file>