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B" w:rsidRDefault="00160731" w:rsidP="00BA3D8E">
      <w:pPr>
        <w:jc w:val="center"/>
        <w:rPr>
          <w:rFonts w:ascii="Trebuchet MS" w:hAnsi="Trebuchet MS"/>
          <w:b/>
          <w:bCs/>
          <w:color w:val="333333"/>
          <w:sz w:val="39"/>
          <w:szCs w:val="39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39"/>
          <w:szCs w:val="39"/>
          <w:shd w:val="clear" w:color="auto" w:fill="FFFFFF"/>
        </w:rPr>
        <w:t>Введение в NBICS-технологии</w:t>
      </w:r>
    </w:p>
    <w:p w:rsidR="00BA3D8E" w:rsidRPr="009F0971" w:rsidRDefault="00BA3D8E" w:rsidP="00BA3D8E">
      <w:pPr>
        <w:pStyle w:val="a3"/>
        <w:jc w:val="center"/>
        <w:rPr>
          <w:b/>
        </w:rPr>
      </w:pPr>
      <w:r w:rsidRPr="009F0971">
        <w:rPr>
          <w:b/>
        </w:rPr>
        <w:t>Герман Евсеевич Кричевский,</w:t>
      </w:r>
    </w:p>
    <w:p w:rsidR="00BA3D8E" w:rsidRDefault="00BA3D8E" w:rsidP="00BA3D8E">
      <w:pPr>
        <w:pStyle w:val="a3"/>
        <w:jc w:val="center"/>
      </w:pPr>
      <w:r>
        <w:rPr>
          <w:i/>
          <w:iCs/>
        </w:rPr>
        <w:t>профессор, доктор технических наук, заслуженный деятель науки РФ</w:t>
      </w:r>
    </w:p>
    <w:p w:rsid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(первая глава книги «Нано, </w:t>
      </w:r>
      <w:proofErr w:type="spellStart"/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био</w:t>
      </w:r>
      <w:proofErr w:type="spellEnd"/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инфо, </w:t>
      </w:r>
      <w:proofErr w:type="spellStart"/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когно</w:t>
      </w:r>
      <w:proofErr w:type="spellEnd"/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социо</w:t>
      </w:r>
      <w:proofErr w:type="spellEnd"/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(</w:t>
      </w: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u-RU"/>
        </w:rPr>
        <w:t>NBICS</w:t>
      </w: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 – технологии для Мира и Войны»).</w:t>
      </w:r>
    </w:p>
    <w:p w:rsidR="00BA3D8E" w:rsidRPr="00BA3D8E" w:rsidRDefault="00BA3D8E" w:rsidP="007C058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Предисловие автора.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Надо как-то объяснить читателю, почему я, автор, по образованию химик-технолог, в последние годы несколько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отошел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своих публикациях от классической химической технологии и пишу о более общих проблемах науки и практики, а именно о NBIC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-технологиях. Причин несколько.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NBIC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-технологии, бионика и социальные технологии для человека вышли в 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XXI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веке на первый план, составили научно-технологическое, практическое ядро развития цивилизации, реально вступившей в 6-ой технологический уклад. Во всяком случае, в передовых по уровню развития и использования прорывных технологий странах.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Технологическими, социальными, политическими, экономическими последствиями этих технологий в мире активно занимаются очень много специалистов разного профиля (философы, социологи, физики, химики, материаловеды, культурологи и многие другие), издаются монографии, публикуются сотни, а то и тысячи статей, проводятся конференции, создаются институты, открываются новые междисциплинарные специальности и кафедры, создаются ассоциации и общества.</w:t>
      </w:r>
      <w:proofErr w:type="gram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повседневной практике реализуются результаты этих технологий, оцениваемые в баснословных прибылях, формируются национальные и международные программы развития и управления этим комплексом технологий.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Древняя и вечно молодая отрасль производства текстиля и изделий из него испокон веков являлась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наукоемкой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сегодня является активным пользователем NBIC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-технологий и бионики, поскольку очень быстро аккумулирует все последние достижения науки и быстро приносит коммерческий результате в виде больших прибылей.</w:t>
      </w:r>
      <w:proofErr w:type="gram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 виды текстиля и, прежде всего, его традиционная форма (одежда, домашний текстиль) постоянно сопровождают человека от рождения и до конца жизни. На нынешний день это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еще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динамично развивающееся производство технического текстиля (для силовых структур, транспорта, промышленности, космоса, медицины, сельского хозяйства, архитектуры и далее везде). И в этих видах текстиля роль прорывных технологий становится доминирующей, без них просто невозможно произвести эти материалы, как нельзя без «умных технологий» создать «умную одежду» и «умный текстиль».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 сожалению, в России экономика находится в глубоком системном кризисе, особенно в перерабатывающих отраслях. В стране произошла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деиндустриализация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роль прорывных (да и не только прорывных, а и традиционных) технологий очень слаба, а на мировом уровне просто незаметна. Наша Родина оказалась на обочине научно-технического развития цивилизованной части человечества. Меня очень беспокоят наши внутренние проблемы: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деиндустриализация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тогда как золотой миллиард въезжает в седьмой технологический уклад; зависимость экономики от добывающих отраслей; ужасающая глобальная коррупция; исчезновение сельского хозяйства; уничтожение отраслевой, академической науки, среднего и высшего образования.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это подвигло меня, в первую очередь, пробудить интерес молодёжи к научно-техническому развитию и обратиться к изложению проблем NBIC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-технологий. Конечно, не будет обойдено и применение их в производстве текстиля.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Определения и понятия NBIC</w:t>
      </w: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u-RU"/>
        </w:rPr>
        <w:t>S</w:t>
      </w: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-технологий.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Очевидно, что в первую очередь необходимо дать определение всем ключевым словам составляющим название книги, то есть NBIC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технологий. Для всех них существует множество определений, но мы для краткости вначале ограничимся по одному для каждого, самому простому и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четкому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Нанотехнологии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Если при уменьшении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объема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какого-либо вещества по одной, двум или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трем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координатам до размеров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нанометрового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(10</w:t>
      </w:r>
      <w:r w:rsidRPr="00BA3D8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-9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масштаба возникает новое качество, то эти образования следует отнести к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наноматериалам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 технологии к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нанотехнологиям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(Жорес Иванович Алфёров, лауреат Нобелевской премии).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Нанонаука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нанотехнологии,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наноиндустрия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начали формироваться в третьей четверти 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XX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века, но эмпирическая, эвристическая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нанотехнология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отдельных областях практики использовалась издавна. Цветные витражи средневековых храмов на основе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наночастиц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золота, булатная сталь клинков, древние чернила китайцев из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наночастиц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сажи – лишь малая часть примеров нанотехнологий прошлых веков.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характеристики нанотехнологий: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Нанотехнологии в настоящее время – основной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мегапроект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области науки и практики, в большей степени, чем информационные и биотехнологии, является локомотивом всего NBIC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-кластера.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Нанотехнологии продолжают экспоненциально развиваться по вертикали от науки к технологии, горизонтально расширяясь в такие области как сельское хозяйство, текстиль, отдых, спорт,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нанофотоника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метаматериалы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спинтроника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многое </w:t>
      </w:r>
      <w:proofErr w:type="spellStart"/>
      <w:proofErr w:type="gram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многое</w:t>
      </w:r>
      <w:proofErr w:type="spellEnd"/>
      <w:proofErr w:type="gram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другое, про что мы сейчас даже не догадываемся.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Нанотехнологии позволяют создавать и реализовывать принципиально новые проекты венчурного характера, открывать производства с принципиально новыми методами: 3d-printing,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прототипирование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прочее.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038725" cy="3114675"/>
            <wp:effectExtent l="0" t="0" r="9525" b="9525"/>
            <wp:docPr id="8" name="Рисунок 8" descr="http://rusnor.org/upload/My/2016/article/krich/vve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nor.org/upload/My/2016/article/krich/vved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Рисунок 1. Связь нанотехнологий с различными областями науки и практики.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048250" cy="2762250"/>
            <wp:effectExtent l="0" t="0" r="0" b="0"/>
            <wp:docPr id="7" name="Рисунок 7" descr="http://rusnor.org/upload/My/2016/article/krich/vve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nor.org/upload/My/2016/article/krich/vved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Рисунок 2. Цели нанотехнологий.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рисунке 1 показана связь нанотехнологий с различными областями науки и практики. На рисунке 2 показано, какие творческие цели ставились, </w:t>
      </w:r>
      <w:proofErr w:type="gram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решались и будут решаться</w:t>
      </w:r>
      <w:proofErr w:type="gram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сфере нанотехнологий в период 2000-2030 годов.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Биотехнологии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Использование живых организмов, их систем или продуктов их жизнедеятельности для решения технологических задач, а также возможности создания живых организмов с необходимыми свойствами методом генной инженерии. Биотехнологии использовались человеком эмпирически в производстве продуктов питания (молочнокислая продукция, хлеб, алкогольные напитки и </w:t>
      </w:r>
      <w:proofErr w:type="gram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другое</w:t>
      </w:r>
      <w:proofErr w:type="gram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еще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самых ранних стадиях цивилизации. Современные биотехнологии и, конечно, генная инженерия, энзимология в разных областях (медицина, производство лекарств, продуктов питания) научно обоснованы и широко используются с середины 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XX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века.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067300" cy="2857500"/>
            <wp:effectExtent l="0" t="0" r="0" b="0"/>
            <wp:docPr id="6" name="Рисунок 6" descr="http://rusnor.org/upload/My/2016/article/krich/vve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nor.org/upload/My/2016/article/krich/vved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Рисунок 3.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Связь биотехнологий с различными областями науки и практики.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962525" cy="2657475"/>
            <wp:effectExtent l="0" t="0" r="9525" b="9525"/>
            <wp:docPr id="5" name="Рисунок 5" descr="http://rusnor.org/upload/My/2016/article/krich/vve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nor.org/upload/My/2016/article/krich/vved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Рисунок 4. Цели биотехнологий.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рисунке 3 показана связь биотехнологий с различными областями науки и практики. На рисунке 4 показано, какие творческие цели ставились, </w:t>
      </w:r>
      <w:proofErr w:type="gram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решались и будут решаться</w:t>
      </w:r>
      <w:proofErr w:type="gram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сфере биотехнологий в период 2000-2030 годов.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Информационные технологии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Методы эффективной обработки, хранения, анализа и использования информации. </w:t>
      </w:r>
      <w:proofErr w:type="gram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 из самых молодых технологий середины прошлого и начала 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XXI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века, без которой невозможно представить жизнь современного человека (Интернет, мобильные телефоны и другое).</w:t>
      </w:r>
      <w:proofErr w:type="gram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Вопросы информационных технологий напрямую в этой книге затрагиваться не будут, поскольку автор непрофессионал в этой области.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Когнитивные технологии.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Познание, изучение, осознание умственных и чувственных функций человека и животных. Тесно связаны с успехами биологии, физиологии, психологии. Оформились в самостоятельные направления в конце XX века. Когнитивная наука изучает процесс познания - как мы воспринимаем мир, как мыслим, на что обращаем внимание.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048250" cy="2819400"/>
            <wp:effectExtent l="0" t="0" r="0" b="0"/>
            <wp:docPr id="4" name="Рисунок 4" descr="http://rusnor.org/upload/My/2016/article/krich/vve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nor.org/upload/My/2016/article/krich/vved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Рисунок 5.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Связь когнитивных технологий с различными областями науки и практики.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 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048250" cy="3562350"/>
            <wp:effectExtent l="0" t="0" r="0" b="0"/>
            <wp:docPr id="3" name="Рисунок 3" descr="http://rusnor.org/upload/My/2016/article/krich/vve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nor.org/upload/My/2016/article/krich/vved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Рисунок 6. Цели когнитивных технологий.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рисунке 5 показана связь когнитивных технологий с различными областями науки и практики. На рисунке 6 показано, какие творческие цели ставились, </w:t>
      </w:r>
      <w:proofErr w:type="gram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решались и будут решаться</w:t>
      </w:r>
      <w:proofErr w:type="gram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сфере когнитивных технологий в период 2000-2030 годов.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Социальные технологии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gram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Методы решения социальных проблем, направленных на формирование условий жизни и развития общества, общественных отношений, социальной структуры с целью обеспечения потребностей человека, создания условий для реализации его потенциальных способностей и интересов, с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учетом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одобренной обществом системы ценностей и взаимосвязи между общественным прогрессом и экономическим развитием.</w:t>
      </w:r>
      <w:proofErr w:type="gramEnd"/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Если по-простому, одной фразой сказать, чем занимаются специалисты каждой составляющей NBICS-технологий, то получится где-то так: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ученый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когнитивист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думает,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ученый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делает,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ученый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биотехнолог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вооружает,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ученый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информационщик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мониторит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контролирует,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ученый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социолог – обращает успехи технологий на пользу человека и общества. Конечно, все эти специалисты, а не только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когнитивисты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думают и все они, а не только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нанотехнологи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делают, а все вместе они творят будущее человечества.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048250" cy="2495550"/>
            <wp:effectExtent l="0" t="0" r="0" b="0"/>
            <wp:docPr id="2" name="Рисунок 2" descr="http://rusnor.org/upload/My/2016/article/krich/vved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nor.org/upload/My/2016/article/krich/vved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Рисунок 7.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Связи внутри </w:t>
      </w: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val="en-US" w:eastAsia="ru-RU"/>
        </w:rPr>
        <w:t>NBICS</w:t>
      </w: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-технологий.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048250" cy="3448050"/>
            <wp:effectExtent l="0" t="0" r="0" b="0"/>
            <wp:docPr id="1" name="Рисунок 1" descr="http://rusnor.org/upload/My/2016/article/krich/vved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snor.org/upload/My/2016/article/krich/vved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Рисунок 8. Связи между NBIC</w:t>
      </w: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val="en-US" w:eastAsia="ru-RU"/>
        </w:rPr>
        <w:t>S</w:t>
      </w:r>
      <w:r w:rsidRPr="00BA3D8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-технологиями с выходом на бионику, как пример конвергенции технологий.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рисунке 7 показаны прямые и опосредованные связи между нано,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инфо, </w:t>
      </w:r>
      <w:proofErr w:type="spellStart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когно</w:t>
      </w:r>
      <w:proofErr w:type="spell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технологиями и их составляющими внутри 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NBICS</w:t>
      </w: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-технологий. Рисунок 8 демонстрирует пример взаимодействия внутри</w:t>
      </w:r>
      <w:proofErr w:type="gramStart"/>
      <w:r w:rsidRPr="00BA3D8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NBICS</w:t>
      </w:r>
      <w:proofErr w:type="gramEnd"/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-технологий с выходом продуктов конвергенции на бионику.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можно видеть, образуется очень сложный научно-практический кластер, между составляющими которого происходит конвергенция, приводящая к лавинообразному появлению открытий, изобретений, новых технологий и продуктов в различных областях (практически во всех) человеческой деятельности.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Текст полностью – 49 страниц.</w:t>
      </w:r>
    </w:p>
    <w:p w:rsidR="00BA3D8E" w:rsidRPr="00BA3D8E" w:rsidRDefault="00BA3D8E" w:rsidP="00BA3D8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7F7F7"/>
          <w:lang w:eastAsia="ru-RU"/>
        </w:rPr>
        <w:lastRenderedPageBreak/>
        <w:t xml:space="preserve">По вопросам </w:t>
      </w:r>
      <w:proofErr w:type="gramStart"/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7F7F7"/>
          <w:lang w:eastAsia="ru-RU"/>
        </w:rPr>
        <w:t>приобретения </w:t>
      </w:r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полного текста электронной версии первой главы книги профессора</w:t>
      </w:r>
      <w:proofErr w:type="gramEnd"/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Кричевского «Нано, </w:t>
      </w:r>
      <w:proofErr w:type="spellStart"/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био</w:t>
      </w:r>
      <w:proofErr w:type="spellEnd"/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, инфо, </w:t>
      </w:r>
      <w:proofErr w:type="spellStart"/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когно</w:t>
      </w:r>
      <w:proofErr w:type="spellEnd"/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социо</w:t>
      </w:r>
      <w:proofErr w:type="spellEnd"/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(</w:t>
      </w:r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en-US" w:eastAsia="ru-RU"/>
        </w:rPr>
        <w:t>NBICS</w:t>
      </w:r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) – технологии для Мира и Войны»</w:t>
      </w:r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7F7F7"/>
          <w:lang w:eastAsia="ru-RU"/>
        </w:rPr>
        <w:t> – обращаться к автору по электронной почте </w:t>
      </w:r>
      <w:hyperlink r:id="rId13" w:history="1">
        <w:r w:rsidRPr="00BA3D8E">
          <w:rPr>
            <w:rFonts w:ascii="Arial" w:eastAsia="Times New Roman" w:hAnsi="Arial" w:cs="Arial"/>
            <w:b/>
            <w:bCs/>
            <w:i/>
            <w:iCs/>
            <w:color w:val="333333"/>
            <w:sz w:val="20"/>
            <w:szCs w:val="20"/>
            <w:u w:val="single"/>
            <w:shd w:val="clear" w:color="auto" w:fill="F7F7F7"/>
            <w:lang w:eastAsia="ru-RU"/>
          </w:rPr>
          <w:t>gek20003@gmail.com</w:t>
        </w:r>
      </w:hyperlink>
      <w:r w:rsidRPr="00BA3D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7F7F7"/>
          <w:lang w:eastAsia="ru-RU"/>
        </w:rPr>
        <w:t>. </w:t>
      </w:r>
    </w:p>
    <w:p w:rsidR="00BA3D8E" w:rsidRDefault="00BA3D8E"/>
    <w:sectPr w:rsidR="00BA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31"/>
    <w:rsid w:val="00160731"/>
    <w:rsid w:val="002B06EB"/>
    <w:rsid w:val="007C0582"/>
    <w:rsid w:val="00BA3D8E"/>
    <w:rsid w:val="00F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D8E"/>
  </w:style>
  <w:style w:type="character" w:styleId="a4">
    <w:name w:val="Hyperlink"/>
    <w:basedOn w:val="a0"/>
    <w:uiPriority w:val="99"/>
    <w:semiHidden/>
    <w:unhideWhenUsed/>
    <w:rsid w:val="00BA3D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D8E"/>
  </w:style>
  <w:style w:type="character" w:styleId="a4">
    <w:name w:val="Hyperlink"/>
    <w:basedOn w:val="a0"/>
    <w:uiPriority w:val="99"/>
    <w:semiHidden/>
    <w:unhideWhenUsed/>
    <w:rsid w:val="00BA3D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gek2000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1375</Words>
  <Characters>7840</Characters>
  <Application>Microsoft Office Word</Application>
  <DocSecurity>0</DocSecurity>
  <Lines>65</Lines>
  <Paragraphs>18</Paragraphs>
  <ScaleCrop>false</ScaleCrop>
  <Company>НОР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2016-09-02T12:23:00Z</dcterms:created>
  <dcterms:modified xsi:type="dcterms:W3CDTF">2016-09-02T12:25:00Z</dcterms:modified>
</cp:coreProperties>
</file>